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D9670D" w14:textId="20A7C940" w:rsidR="00722CC8" w:rsidRPr="004E0AC0" w:rsidRDefault="00722CC8" w:rsidP="00722CC8">
      <w:pPr>
        <w:jc w:val="center"/>
        <w:rPr>
          <w:rFonts w:ascii="Tw Cen MT" w:eastAsiaTheme="minorHAnsi" w:hAnsi="Tw Cen MT" w:cs="Tw Cen MT"/>
          <w:b/>
          <w:bCs/>
          <w:color w:val="009932"/>
          <w:kern w:val="0"/>
          <w:sz w:val="36"/>
          <w:szCs w:val="36"/>
          <w:lang w:val="de-DE" w:bidi="ar-SA"/>
        </w:rPr>
      </w:pPr>
      <w:r w:rsidRPr="00293317">
        <w:rPr>
          <w:rFonts w:ascii="Tw Cen MT" w:eastAsiaTheme="minorHAnsi" w:hAnsi="Tw Cen MT" w:cs="Tw Cen MT"/>
          <w:b/>
          <w:bCs/>
          <w:color w:val="009932"/>
          <w:kern w:val="0"/>
          <w:sz w:val="36"/>
          <w:szCs w:val="36"/>
          <w:lang w:val="de-DE" w:bidi="ar-SA"/>
        </w:rPr>
        <w:t xml:space="preserve">SMURF-PROJEKT </w:t>
      </w:r>
      <w:r w:rsidR="00293317">
        <w:rPr>
          <w:rFonts w:ascii="Tw Cen MT" w:eastAsiaTheme="minorHAnsi" w:hAnsi="Tw Cen MT" w:cs="Tw Cen MT"/>
          <w:b/>
          <w:bCs/>
          <w:color w:val="009932"/>
          <w:kern w:val="0"/>
          <w:sz w:val="36"/>
          <w:szCs w:val="36"/>
          <w:lang w:val="de-DE" w:bidi="ar-SA"/>
        </w:rPr>
        <w:br/>
      </w:r>
      <w:r w:rsidRPr="00293317">
        <w:rPr>
          <w:rFonts w:ascii="Tw Cen MT" w:eastAsiaTheme="minorHAnsi" w:hAnsi="Tw Cen MT" w:cs="Tw Cen MT"/>
          <w:b/>
          <w:bCs/>
          <w:color w:val="009932"/>
          <w:kern w:val="0"/>
          <w:sz w:val="36"/>
          <w:szCs w:val="36"/>
          <w:lang w:val="de-DE" w:bidi="ar-SA"/>
        </w:rPr>
        <w:t xml:space="preserve">DRITTE GENERALVERSAMMLUNG IN FLORENZ: VORBEREITUNG AUF DIE 1. </w:t>
      </w:r>
      <w:r w:rsidRPr="004E0AC0">
        <w:rPr>
          <w:rFonts w:ascii="Tw Cen MT" w:eastAsiaTheme="minorHAnsi" w:hAnsi="Tw Cen MT" w:cs="Tw Cen MT"/>
          <w:b/>
          <w:bCs/>
          <w:color w:val="009932"/>
          <w:kern w:val="0"/>
          <w:sz w:val="36"/>
          <w:szCs w:val="36"/>
          <w:lang w:val="de-DE" w:bidi="ar-SA"/>
        </w:rPr>
        <w:t>EUROPÄISCHE KONFERENZ ZU KLEINSTRUKTURIERTEN WALDBESITZERN</w:t>
      </w:r>
    </w:p>
    <w:p w14:paraId="123360EF" w14:textId="77777777" w:rsidR="007C4C33" w:rsidRPr="004E0AC0" w:rsidRDefault="007C4C33" w:rsidP="00722CC8">
      <w:pPr>
        <w:jc w:val="center"/>
        <w:rPr>
          <w:rFonts w:ascii="Tw Cen MT" w:eastAsiaTheme="minorHAnsi" w:hAnsi="Tw Cen MT" w:cs="Tw Cen MT"/>
          <w:b/>
          <w:bCs/>
          <w:color w:val="009932"/>
          <w:kern w:val="0"/>
          <w:sz w:val="36"/>
          <w:szCs w:val="36"/>
          <w:lang w:val="de-DE" w:bidi="ar-SA"/>
        </w:rPr>
      </w:pPr>
    </w:p>
    <w:p w14:paraId="6C534A11" w14:textId="2E361740" w:rsidR="00722CC8" w:rsidRPr="00293317" w:rsidRDefault="004E0AC0" w:rsidP="00722CC8">
      <w:pPr>
        <w:pStyle w:val="Default"/>
        <w:numPr>
          <w:ilvl w:val="0"/>
          <w:numId w:val="5"/>
        </w:numPr>
        <w:spacing w:after="105"/>
        <w:jc w:val="both"/>
        <w:rPr>
          <w:rFonts w:ascii="Century Gothic" w:hAnsi="Century Gothic" w:cs="Century Gothic"/>
          <w:b/>
          <w:bCs/>
          <w:sz w:val="20"/>
          <w:szCs w:val="20"/>
          <w:lang w:val="de-DE"/>
        </w:rPr>
      </w:pPr>
      <w:r>
        <w:rPr>
          <w:rFonts w:ascii="Century Gothic" w:hAnsi="Century Gothic" w:cs="Century Gothic"/>
          <w:b/>
          <w:bCs/>
          <w:sz w:val="20"/>
          <w:szCs w:val="20"/>
          <w:lang w:val="de-DE"/>
        </w:rPr>
        <w:t>D</w:t>
      </w:r>
      <w:r w:rsidR="00722CC8" w:rsidRPr="00293317">
        <w:rPr>
          <w:rFonts w:ascii="Century Gothic" w:hAnsi="Century Gothic" w:cs="Century Gothic"/>
          <w:b/>
          <w:bCs/>
          <w:sz w:val="20"/>
          <w:szCs w:val="20"/>
          <w:lang w:val="de-DE"/>
        </w:rPr>
        <w:t xml:space="preserve">ie Projektpartner </w:t>
      </w:r>
      <w:r w:rsidRPr="00293317">
        <w:rPr>
          <w:rFonts w:ascii="Century Gothic" w:hAnsi="Century Gothic" w:cs="Century Gothic"/>
          <w:b/>
          <w:bCs/>
          <w:sz w:val="20"/>
          <w:szCs w:val="20"/>
          <w:lang w:val="de-DE"/>
        </w:rPr>
        <w:t xml:space="preserve">trafen sich </w:t>
      </w:r>
      <w:r>
        <w:rPr>
          <w:rFonts w:ascii="Century Gothic" w:hAnsi="Century Gothic" w:cs="Century Gothic"/>
          <w:b/>
          <w:bCs/>
          <w:sz w:val="20"/>
          <w:szCs w:val="20"/>
          <w:lang w:val="de-DE"/>
        </w:rPr>
        <w:t>v</w:t>
      </w:r>
      <w:r w:rsidRPr="00293317">
        <w:rPr>
          <w:rFonts w:ascii="Century Gothic" w:hAnsi="Century Gothic" w:cs="Century Gothic"/>
          <w:b/>
          <w:bCs/>
          <w:sz w:val="20"/>
          <w:szCs w:val="20"/>
          <w:lang w:val="de-DE"/>
        </w:rPr>
        <w:t xml:space="preserve">om 14. bis 16. Januar 2025 </w:t>
      </w:r>
      <w:r w:rsidR="00722CC8" w:rsidRPr="00293317">
        <w:rPr>
          <w:rFonts w:ascii="Century Gothic" w:hAnsi="Century Gothic" w:cs="Century Gothic"/>
          <w:b/>
          <w:bCs/>
          <w:sz w:val="20"/>
          <w:szCs w:val="20"/>
          <w:lang w:val="de-DE"/>
        </w:rPr>
        <w:t>auf dem Novoli-Campus der Universität Florenz (Italien)</w:t>
      </w:r>
    </w:p>
    <w:p w14:paraId="524D610A" w14:textId="77777777" w:rsidR="00722CC8" w:rsidRPr="00293317" w:rsidRDefault="00722CC8" w:rsidP="00722CC8">
      <w:pPr>
        <w:pStyle w:val="Default"/>
        <w:numPr>
          <w:ilvl w:val="0"/>
          <w:numId w:val="5"/>
        </w:numPr>
        <w:spacing w:after="105"/>
        <w:jc w:val="both"/>
        <w:rPr>
          <w:rFonts w:ascii="Century Gothic" w:hAnsi="Century Gothic" w:cs="Century Gothic"/>
          <w:b/>
          <w:bCs/>
          <w:sz w:val="20"/>
          <w:szCs w:val="20"/>
          <w:lang w:val="de-DE"/>
        </w:rPr>
      </w:pPr>
      <w:r w:rsidRPr="00293317">
        <w:rPr>
          <w:rFonts w:ascii="Century Gothic" w:hAnsi="Century Gothic" w:cs="Century Gothic"/>
          <w:b/>
          <w:bCs/>
          <w:sz w:val="20"/>
          <w:szCs w:val="20"/>
          <w:lang w:val="de-DE"/>
        </w:rPr>
        <w:t>Die 1. Europäische Konferenz zu kleinstrukturierten Waldbesitzern wird vom 20. bis 22. Mai 2025 in Rom am FAO-Hauptsitz stattfinden. Ko-Organisatoren sind die Ernährungs- und Landwirtschaftsorganisation der Vereinten Nationen (FAO) und das Europäische Forstinstitut (EFI).</w:t>
      </w:r>
    </w:p>
    <w:p w14:paraId="673FC908" w14:textId="77777777" w:rsidR="00722CC8" w:rsidRPr="00293317" w:rsidRDefault="00722CC8" w:rsidP="00722CC8">
      <w:pPr>
        <w:pStyle w:val="Default"/>
        <w:spacing w:after="105"/>
        <w:ind w:left="720"/>
        <w:jc w:val="both"/>
        <w:rPr>
          <w:rFonts w:ascii="Century Gothic" w:hAnsi="Century Gothic" w:cs="Century Gothic"/>
          <w:b/>
          <w:bCs/>
          <w:sz w:val="20"/>
          <w:szCs w:val="20"/>
          <w:lang w:val="de-DE"/>
        </w:rPr>
      </w:pPr>
    </w:p>
    <w:p w14:paraId="7D90A800" w14:textId="77777777" w:rsidR="00722CC8" w:rsidRPr="00F13B18" w:rsidRDefault="00722CC8" w:rsidP="00722CC8">
      <w:pPr>
        <w:jc w:val="both"/>
        <w:rPr>
          <w:lang w:val="de-DE"/>
        </w:rPr>
      </w:pPr>
      <w:r w:rsidRPr="00F13B18">
        <w:rPr>
          <w:b/>
          <w:bCs/>
          <w:lang w:val="de-DE"/>
        </w:rPr>
        <w:t>(Florenz, Italien – 28. Januar 2025)</w:t>
      </w:r>
      <w:r w:rsidRPr="00F13B18">
        <w:rPr>
          <w:lang w:val="de-DE"/>
        </w:rPr>
        <w:t xml:space="preserve"> - Vom 14. bis 16. Januar 2025 hielt das SMURF-Projekt (Nachhaltiges Management von </w:t>
      </w:r>
      <w:r>
        <w:rPr>
          <w:lang w:val="de-DE"/>
        </w:rPr>
        <w:t>k</w:t>
      </w:r>
      <w:r w:rsidRPr="00F13B18">
        <w:rPr>
          <w:lang w:val="de-DE"/>
        </w:rPr>
        <w:t>lein</w:t>
      </w:r>
      <w:r>
        <w:rPr>
          <w:lang w:val="de-DE"/>
        </w:rPr>
        <w:t>-strukturiert</w:t>
      </w:r>
      <w:r w:rsidRPr="00F13B18">
        <w:rPr>
          <w:lang w:val="de-DE"/>
        </w:rPr>
        <w:t xml:space="preserve">en Wäldern) seine 3. Generalversammlung auf dem Novoli-Campus der Universität Florenz ab. Diese Sitzung brachte 22 Projektpartner zusammen, um </w:t>
      </w:r>
      <w:r>
        <w:rPr>
          <w:lang w:val="de-DE"/>
        </w:rPr>
        <w:t>den Projektf</w:t>
      </w:r>
      <w:r w:rsidRPr="00F13B18">
        <w:rPr>
          <w:lang w:val="de-DE"/>
        </w:rPr>
        <w:t xml:space="preserve">ortschritt zu überprüfen, zukünftige Aktivitäten zu planen und den zweiten Finanzierungsaufruf sowie die erste Europäische Konferenz über Kleine Forstbetriebe vorzubereiten. Die Generalversammlung diente dazu, die Aktivitäten und Programme des Projekts, den Stand der Arbeitsergebnisse und die wichtigsten Meilensteine zu überprüfen, darunter die Einbeziehung von 36 Verbänden aus 16 verschiedenen Ländern dank des </w:t>
      </w:r>
      <w:r>
        <w:rPr>
          <w:lang w:val="de-DE"/>
        </w:rPr>
        <w:t>Kaskaden</w:t>
      </w:r>
      <w:r w:rsidRPr="00F13B18">
        <w:rPr>
          <w:lang w:val="de-DE"/>
        </w:rPr>
        <w:t xml:space="preserve">-Finanzierungsverfahrens. </w:t>
      </w:r>
      <w:r>
        <w:rPr>
          <w:lang w:val="de-DE"/>
        </w:rPr>
        <w:t xml:space="preserve">Partner </w:t>
      </w:r>
      <w:r w:rsidRPr="00F13B18">
        <w:rPr>
          <w:lang w:val="de-DE"/>
        </w:rPr>
        <w:t xml:space="preserve">MILIEU stellte die ersten Ergebnisse der nationalen Berichte zum rechtlichen Rahmen für kleine Wälder in Europa vor, und das Team der Universität Florenz präsentierte </w:t>
      </w:r>
      <w:r>
        <w:rPr>
          <w:lang w:val="de-DE"/>
        </w:rPr>
        <w:t>wichtige</w:t>
      </w:r>
      <w:r w:rsidRPr="00F13B18">
        <w:rPr>
          <w:lang w:val="de-DE"/>
        </w:rPr>
        <w:t xml:space="preserve"> Fortschritte in den Modellen der naturnahen Forstwirtschaft. Es wurden laufende Initiativen zur </w:t>
      </w:r>
      <w:r>
        <w:rPr>
          <w:lang w:val="de-DE"/>
        </w:rPr>
        <w:t>stärkeren</w:t>
      </w:r>
      <w:r w:rsidRPr="00F13B18">
        <w:rPr>
          <w:lang w:val="de-DE"/>
        </w:rPr>
        <w:t xml:space="preserve"> Zusammenarbeit mit Forstverbänden und Forstbehörden sowie anderen Akteuren des Sektors erörtert. </w:t>
      </w:r>
    </w:p>
    <w:p w14:paraId="6CABE906" w14:textId="77777777" w:rsidR="007C4C33" w:rsidRDefault="00722CC8" w:rsidP="00722CC8">
      <w:pPr>
        <w:jc w:val="both"/>
        <w:rPr>
          <w:lang w:val="de-DE"/>
        </w:rPr>
      </w:pPr>
      <w:r w:rsidRPr="00F13B18">
        <w:rPr>
          <w:b/>
          <w:bCs/>
          <w:lang w:val="de-DE"/>
        </w:rPr>
        <w:t>Wissens- und Erfahrungsaustausch am Monte Amiata</w:t>
      </w:r>
      <w:r>
        <w:rPr>
          <w:b/>
          <w:bCs/>
          <w:lang w:val="de-DE"/>
        </w:rPr>
        <w:t>.</w:t>
      </w:r>
      <w:r w:rsidRPr="00F13B18">
        <w:rPr>
          <w:lang w:val="de-DE"/>
        </w:rPr>
        <w:t xml:space="preserve"> </w:t>
      </w:r>
    </w:p>
    <w:p w14:paraId="318A135E" w14:textId="02009DA1" w:rsidR="00722CC8" w:rsidRPr="00F13B18" w:rsidRDefault="00722CC8" w:rsidP="00722CC8">
      <w:pPr>
        <w:jc w:val="both"/>
        <w:rPr>
          <w:lang w:val="de-DE"/>
        </w:rPr>
      </w:pPr>
      <w:r w:rsidRPr="00F13B18">
        <w:rPr>
          <w:lang w:val="de-DE"/>
        </w:rPr>
        <w:t>Die Veranstaltung beinhaltete auch einen Ausflug in die Buchenwälder des Monte Amiata zwischen Siena und Grosseto, einer Region, die für ihr forstwirtschaftliches Erbe und ihre innovativen Praktiken bekannt ist.</w:t>
      </w:r>
      <w:r>
        <w:rPr>
          <w:lang w:val="de-DE"/>
        </w:rPr>
        <w:t xml:space="preserve"> </w:t>
      </w:r>
      <w:r w:rsidRPr="00F13B18">
        <w:rPr>
          <w:lang w:val="de-DE"/>
        </w:rPr>
        <w:t xml:space="preserve">Der Ausflug bot wertvolle </w:t>
      </w:r>
      <w:r>
        <w:rPr>
          <w:lang w:val="de-DE"/>
        </w:rPr>
        <w:t>Einblicke in die</w:t>
      </w:r>
      <w:r w:rsidRPr="00F13B18">
        <w:rPr>
          <w:lang w:val="de-DE"/>
        </w:rPr>
        <w:t xml:space="preserve"> lokalen Forstmanagementpraktiken. Die Teilnehmer besuchten </w:t>
      </w:r>
      <w:r>
        <w:rPr>
          <w:lang w:val="de-DE"/>
        </w:rPr>
        <w:t xml:space="preserve">die </w:t>
      </w:r>
      <w:r w:rsidRPr="00F13B18">
        <w:rPr>
          <w:lang w:val="de-DE"/>
        </w:rPr>
        <w:t xml:space="preserve">forstwirtschaftliche Gebiete „La Nava de Renai“, „Il Monte Macchia Faggeta“ und „Il Monte Pozzo Stella e Marsiliana“, , die von der Unione dei Comuni Amiata Valdorcia, der Società Macchia Faggeta und dem Consorzio Forestale dell'Amiata Grossetana verwaltet werden. Diese Organisationen </w:t>
      </w:r>
      <w:r>
        <w:rPr>
          <w:lang w:val="de-DE"/>
        </w:rPr>
        <w:t>stellten</w:t>
      </w:r>
      <w:r w:rsidRPr="00F13B18">
        <w:rPr>
          <w:lang w:val="de-DE"/>
        </w:rPr>
        <w:t xml:space="preserve"> ihre Forstwirtschaft, Holzproduktion, den Erhalt der Biodiversität und die öffentliche Nutzung sowie die Einbeziehung der lokalen Gemeinschaft</w:t>
      </w:r>
      <w:r>
        <w:rPr>
          <w:lang w:val="de-DE"/>
        </w:rPr>
        <w:t xml:space="preserve"> vor</w:t>
      </w:r>
      <w:r w:rsidRPr="00F13B18">
        <w:rPr>
          <w:lang w:val="de-DE"/>
        </w:rPr>
        <w:t>. Das während dieses Besuchs vermittelte Wissen stärkt die kontinuierlichen Bemühungen von SMURF, innovative Werkzeuge für kleine Waldbesitzer bereitzustellen und die Zukunft des Forstmanagements in Europa neu zu definieren.</w:t>
      </w:r>
    </w:p>
    <w:p w14:paraId="14791536" w14:textId="77777777" w:rsidR="007C4C33" w:rsidRDefault="00722CC8" w:rsidP="00722CC8">
      <w:pPr>
        <w:jc w:val="both"/>
        <w:rPr>
          <w:lang w:val="de-DE"/>
        </w:rPr>
      </w:pPr>
      <w:r>
        <w:rPr>
          <w:b/>
          <w:bCs/>
          <w:lang w:val="de-DE"/>
        </w:rPr>
        <w:lastRenderedPageBreak/>
        <w:t>D</w:t>
      </w:r>
      <w:r w:rsidRPr="00F13B18">
        <w:rPr>
          <w:b/>
          <w:bCs/>
          <w:lang w:val="de-DE"/>
        </w:rPr>
        <w:t xml:space="preserve">ie 1. Europäische Konferenz </w:t>
      </w:r>
      <w:r>
        <w:rPr>
          <w:b/>
          <w:bCs/>
          <w:lang w:val="de-DE"/>
        </w:rPr>
        <w:t>zu</w:t>
      </w:r>
      <w:r w:rsidRPr="00F13B18">
        <w:rPr>
          <w:b/>
          <w:bCs/>
          <w:lang w:val="de-DE"/>
        </w:rPr>
        <w:t xml:space="preserve"> </w:t>
      </w:r>
      <w:r>
        <w:rPr>
          <w:b/>
          <w:bCs/>
          <w:lang w:val="de-DE"/>
        </w:rPr>
        <w:t>kleinstruktirierten Waldbesitzern wird in Rom</w:t>
      </w:r>
      <w:r w:rsidRPr="00F13B18">
        <w:rPr>
          <w:b/>
          <w:bCs/>
          <w:lang w:val="de-DE"/>
        </w:rPr>
        <w:t xml:space="preserve"> </w:t>
      </w:r>
      <w:r>
        <w:rPr>
          <w:b/>
          <w:bCs/>
          <w:lang w:val="de-DE"/>
        </w:rPr>
        <w:t>a</w:t>
      </w:r>
      <w:r w:rsidRPr="00F13B18">
        <w:rPr>
          <w:b/>
          <w:bCs/>
          <w:lang w:val="de-DE"/>
        </w:rPr>
        <w:t>us</w:t>
      </w:r>
      <w:r>
        <w:rPr>
          <w:b/>
          <w:bCs/>
          <w:lang w:val="de-DE"/>
        </w:rPr>
        <w:t>ge</w:t>
      </w:r>
      <w:r w:rsidRPr="00F13B18">
        <w:rPr>
          <w:b/>
          <w:bCs/>
          <w:lang w:val="de-DE"/>
        </w:rPr>
        <w:t>richte</w:t>
      </w:r>
      <w:r>
        <w:rPr>
          <w:b/>
          <w:bCs/>
          <w:lang w:val="de-DE"/>
        </w:rPr>
        <w:t>t.</w:t>
      </w:r>
      <w:r w:rsidRPr="00F13B18">
        <w:rPr>
          <w:lang w:val="de-DE"/>
        </w:rPr>
        <w:t xml:space="preserve"> </w:t>
      </w:r>
    </w:p>
    <w:p w14:paraId="1915D14C" w14:textId="1A178C96" w:rsidR="00722CC8" w:rsidRPr="00DF4B34" w:rsidRDefault="00722CC8" w:rsidP="00722CC8">
      <w:pPr>
        <w:jc w:val="both"/>
        <w:rPr>
          <w:lang w:val="de-DE"/>
        </w:rPr>
      </w:pPr>
      <w:r w:rsidRPr="00F13B18">
        <w:rPr>
          <w:lang w:val="de-DE"/>
        </w:rPr>
        <w:t xml:space="preserve">Die Veranstaltung bringt internationale Experten, politische Entscheidungsträger, Verbände, NGOs, Forstunternehmer, kleine Waldbesitzer und </w:t>
      </w:r>
      <w:r>
        <w:rPr>
          <w:lang w:val="de-DE"/>
        </w:rPr>
        <w:t>Berater</w:t>
      </w:r>
      <w:r w:rsidRPr="00F13B18">
        <w:rPr>
          <w:lang w:val="de-DE"/>
        </w:rPr>
        <w:t xml:space="preserve"> zusammen. </w:t>
      </w:r>
      <w:r w:rsidRPr="00DF4B34">
        <w:rPr>
          <w:lang w:val="de-DE"/>
        </w:rPr>
        <w:t>Die Konferenz zielt darauf ab:</w:t>
      </w:r>
    </w:p>
    <w:p w14:paraId="750B0368" w14:textId="77777777" w:rsidR="00722CC8" w:rsidRPr="00F13B18" w:rsidRDefault="00722CC8" w:rsidP="00722CC8">
      <w:pPr>
        <w:numPr>
          <w:ilvl w:val="0"/>
          <w:numId w:val="12"/>
        </w:numPr>
        <w:spacing w:line="278" w:lineRule="auto"/>
        <w:jc w:val="both"/>
        <w:rPr>
          <w:lang w:val="de-DE"/>
        </w:rPr>
      </w:pPr>
      <w:r w:rsidRPr="00F13B18">
        <w:rPr>
          <w:lang w:val="de-DE"/>
        </w:rPr>
        <w:t>Die Herausforderungen und Chancen im Bereich der klein</w:t>
      </w:r>
      <w:r>
        <w:rPr>
          <w:lang w:val="de-DE"/>
        </w:rPr>
        <w:t>strukturiert</w:t>
      </w:r>
      <w:r w:rsidRPr="00F13B18">
        <w:rPr>
          <w:lang w:val="de-DE"/>
        </w:rPr>
        <w:t>en Forstbetriebe in Europa zu überprüfen.</w:t>
      </w:r>
    </w:p>
    <w:p w14:paraId="428EB2D4" w14:textId="77777777" w:rsidR="00722CC8" w:rsidRPr="00F13B18" w:rsidRDefault="00722CC8" w:rsidP="00722CC8">
      <w:pPr>
        <w:numPr>
          <w:ilvl w:val="0"/>
          <w:numId w:val="12"/>
        </w:numPr>
        <w:spacing w:line="278" w:lineRule="auto"/>
        <w:jc w:val="both"/>
        <w:rPr>
          <w:lang w:val="de-DE"/>
        </w:rPr>
      </w:pPr>
      <w:r w:rsidRPr="00F13B18">
        <w:rPr>
          <w:lang w:val="de-DE"/>
        </w:rPr>
        <w:t>Aktuelle Initiativen zur Einbeziehung von Waldbesitzern, zur Finanzierung forstwirtschaftlicher Tätigkeiten, zur Vermeidung von Landflucht und zur Lösung der Waldfragmentierung zu erörtern.</w:t>
      </w:r>
    </w:p>
    <w:p w14:paraId="776F4734" w14:textId="77777777" w:rsidR="00722CC8" w:rsidRPr="00F13B18" w:rsidRDefault="00722CC8" w:rsidP="00722CC8">
      <w:pPr>
        <w:numPr>
          <w:ilvl w:val="0"/>
          <w:numId w:val="12"/>
        </w:numPr>
        <w:spacing w:line="278" w:lineRule="auto"/>
        <w:jc w:val="both"/>
        <w:rPr>
          <w:lang w:val="de-DE"/>
        </w:rPr>
      </w:pPr>
      <w:r w:rsidRPr="00F13B18">
        <w:rPr>
          <w:lang w:val="de-DE"/>
        </w:rPr>
        <w:t>Einen Überblick über den aktuellen Stand der kleinen Forstbetriebe in der EU zu geben, einschließlich der Unterschiede im rechtlichen und regulatorischen Rahmen und der nationalen und regionalen Unterstützungssysteme, die eine multifunktionale Forstwirtschaft fördern.</w:t>
      </w:r>
    </w:p>
    <w:p w14:paraId="030B8E14" w14:textId="77777777" w:rsidR="00722CC8" w:rsidRPr="00F13B18" w:rsidRDefault="00722CC8" w:rsidP="00722CC8">
      <w:pPr>
        <w:numPr>
          <w:ilvl w:val="0"/>
          <w:numId w:val="12"/>
        </w:numPr>
        <w:spacing w:line="278" w:lineRule="auto"/>
        <w:jc w:val="both"/>
        <w:rPr>
          <w:lang w:val="de-DE"/>
        </w:rPr>
      </w:pPr>
      <w:r w:rsidRPr="00F13B18">
        <w:rPr>
          <w:lang w:val="de-DE"/>
        </w:rPr>
        <w:t>Die Entwicklung eines europäischen Netzwerks von Experten für kleine Forstbetriebe zu fördern.</w:t>
      </w:r>
    </w:p>
    <w:p w14:paraId="6D56563A" w14:textId="77777777" w:rsidR="00722CC8" w:rsidRPr="00F13B18" w:rsidRDefault="00722CC8" w:rsidP="00722CC8">
      <w:pPr>
        <w:jc w:val="both"/>
        <w:rPr>
          <w:lang w:val="de-DE"/>
        </w:rPr>
      </w:pPr>
      <w:r w:rsidRPr="00F13B18">
        <w:rPr>
          <w:lang w:val="de-DE"/>
        </w:rPr>
        <w:t xml:space="preserve">Die Konferenz wird von der Europäischen Kommission finanziert und von der Cesefor-Stiftung in Zusammenarbeit mit der Universität Florenz im Namen des SMURF-Konsortiums organisiert. </w:t>
      </w:r>
      <w:r>
        <w:rPr>
          <w:lang w:val="de-DE"/>
        </w:rPr>
        <w:t>Ko-Organisatoren sind die</w:t>
      </w:r>
      <w:r w:rsidRPr="00F13B18">
        <w:rPr>
          <w:lang w:val="de-DE"/>
        </w:rPr>
        <w:t xml:space="preserve"> Ernährungs- und Landwirtschaftsorganisation der Vereinten Nationen (FAO) und </w:t>
      </w:r>
      <w:r>
        <w:rPr>
          <w:lang w:val="de-DE"/>
        </w:rPr>
        <w:t>das</w:t>
      </w:r>
      <w:r w:rsidRPr="00F13B18">
        <w:rPr>
          <w:lang w:val="de-DE"/>
        </w:rPr>
        <w:t xml:space="preserve"> Europäische Forstinstitut (EFI)</w:t>
      </w:r>
      <w:r>
        <w:rPr>
          <w:lang w:val="de-DE"/>
        </w:rPr>
        <w:t>,</w:t>
      </w:r>
      <w:r w:rsidRPr="00F13B18">
        <w:rPr>
          <w:lang w:val="de-DE"/>
        </w:rPr>
        <w:t xml:space="preserve"> mit zusätzlicher Unterstützung des italienischen Ministeriums für Landwirtschaft, Ernährungssouveränität und Wälder (MASAF) und des spanischen Ministeriums für den ökologischen Übergang und die demografische Herausforderung (MITECO).</w:t>
      </w:r>
    </w:p>
    <w:p w14:paraId="2436DB6C" w14:textId="77777777" w:rsidR="00722CC8" w:rsidRPr="00F13B18" w:rsidRDefault="00722CC8" w:rsidP="00722CC8">
      <w:pPr>
        <w:jc w:val="both"/>
        <w:rPr>
          <w:lang w:val="de-DE"/>
        </w:rPr>
      </w:pPr>
      <w:r w:rsidRPr="00F13B18">
        <w:rPr>
          <w:lang w:val="de-DE"/>
        </w:rPr>
        <w:t>Dieses Treffen soll die Aufmerksamkeit der Behörden und Forstorganisationen auf die Situation der kleinen Forstbetriebe und die Bedürfnisse der Millionen bestehenden Waldbesitzer lenken, um Lösungen für das schwerwiegende Problem der Waldfragmentierung zu entwickeln und innovative Ideen vorzuschlagen, die die Waldbesitzer motivieren und in die Forstwirtschaft einbinden, wirtschaftliche Aktivitäten und Arbeitsplätze schaffen und gleichzeitig die Biodiversität erhalten und die Resilienz der Waldlandschaften erhöhen.</w:t>
      </w:r>
    </w:p>
    <w:p w14:paraId="678C7B73" w14:textId="4BC7DBEA" w:rsidR="00722CC8" w:rsidRPr="00293317" w:rsidRDefault="00722CC8" w:rsidP="00B2782D">
      <w:pPr>
        <w:pStyle w:val="Default"/>
        <w:pBdr>
          <w:top w:val="single" w:sz="4" w:space="1" w:color="auto"/>
          <w:left w:val="single" w:sz="4" w:space="4" w:color="auto"/>
          <w:bottom w:val="single" w:sz="4" w:space="1" w:color="auto"/>
          <w:right w:val="single" w:sz="4" w:space="4" w:color="auto"/>
        </w:pBdr>
        <w:spacing w:after="105"/>
        <w:jc w:val="both"/>
        <w:rPr>
          <w:rFonts w:asciiTheme="minorHAnsi" w:eastAsia="Calibri" w:hAnsiTheme="minorHAnsi" w:cs="Poppins"/>
          <w:color w:val="auto"/>
          <w:kern w:val="2"/>
          <w:sz w:val="18"/>
          <w:szCs w:val="18"/>
          <w:lang w:val="de-DE" w:bidi="he-IL"/>
        </w:rPr>
      </w:pPr>
      <w:r w:rsidRPr="00293317">
        <w:rPr>
          <w:rFonts w:asciiTheme="minorHAnsi" w:eastAsia="Calibri" w:hAnsiTheme="minorHAnsi" w:cs="Poppins"/>
          <w:b/>
          <w:bCs/>
          <w:color w:val="009933" w:themeColor="accent2"/>
          <w:kern w:val="2"/>
          <w:sz w:val="20"/>
          <w:szCs w:val="20"/>
          <w:lang w:val="de-DE" w:bidi="he-IL"/>
        </w:rPr>
        <w:t>Über SMURF:</w:t>
      </w:r>
      <w:r w:rsidRPr="00293317">
        <w:rPr>
          <w:rFonts w:asciiTheme="minorHAnsi" w:eastAsia="Calibri" w:hAnsiTheme="minorHAnsi" w:cs="Poppins"/>
          <w:color w:val="auto"/>
          <w:kern w:val="2"/>
          <w:sz w:val="18"/>
          <w:szCs w:val="18"/>
          <w:lang w:val="de-DE" w:bidi="he-IL"/>
        </w:rPr>
        <w:t xml:space="preserve"> Das SMURF-Projekt, das im Einklang mit der EU-Forststrategie steht, fördert das nachhaltige Forstmanagement in klein</w:t>
      </w:r>
      <w:r w:rsidR="00D05A9F">
        <w:rPr>
          <w:rFonts w:asciiTheme="minorHAnsi" w:eastAsia="Calibri" w:hAnsiTheme="minorHAnsi" w:cs="Poppins"/>
          <w:color w:val="auto"/>
          <w:kern w:val="2"/>
          <w:sz w:val="18"/>
          <w:szCs w:val="18"/>
          <w:lang w:val="de-DE" w:bidi="he-IL"/>
        </w:rPr>
        <w:t>strukturiert</w:t>
      </w:r>
      <w:r w:rsidRPr="00293317">
        <w:rPr>
          <w:rFonts w:asciiTheme="minorHAnsi" w:eastAsia="Calibri" w:hAnsiTheme="minorHAnsi" w:cs="Poppins"/>
          <w:color w:val="auto"/>
          <w:kern w:val="2"/>
          <w:sz w:val="18"/>
          <w:szCs w:val="18"/>
          <w:lang w:val="de-DE" w:bidi="he-IL"/>
        </w:rPr>
        <w:t xml:space="preserve">en Wäldern und konzentriert sich auf Eigentümer und Manager, </w:t>
      </w:r>
      <w:r w:rsidR="006B4819">
        <w:rPr>
          <w:rFonts w:asciiTheme="minorHAnsi" w:eastAsia="Calibri" w:hAnsiTheme="minorHAnsi" w:cs="Poppins"/>
          <w:color w:val="auto"/>
          <w:kern w:val="2"/>
          <w:sz w:val="18"/>
          <w:szCs w:val="18"/>
          <w:lang w:val="de-DE" w:bidi="he-IL"/>
        </w:rPr>
        <w:t>begleitet von</w:t>
      </w:r>
      <w:r w:rsidRPr="00293317">
        <w:rPr>
          <w:rFonts w:asciiTheme="minorHAnsi" w:eastAsia="Calibri" w:hAnsiTheme="minorHAnsi" w:cs="Poppins"/>
          <w:color w:val="auto"/>
          <w:kern w:val="2"/>
          <w:sz w:val="18"/>
          <w:szCs w:val="18"/>
          <w:lang w:val="de-DE" w:bidi="he-IL"/>
        </w:rPr>
        <w:t xml:space="preserve"> Aktivitäten von Verbänden, Genossenschaften und Unternehmen des Sektors und </w:t>
      </w:r>
      <w:r w:rsidR="00456254">
        <w:rPr>
          <w:rFonts w:asciiTheme="minorHAnsi" w:eastAsia="Calibri" w:hAnsiTheme="minorHAnsi" w:cs="Poppins"/>
          <w:color w:val="auto"/>
          <w:kern w:val="2"/>
          <w:sz w:val="18"/>
          <w:szCs w:val="18"/>
          <w:lang w:val="de-DE" w:bidi="he-IL"/>
        </w:rPr>
        <w:t>unter</w:t>
      </w:r>
      <w:r w:rsidRPr="00293317">
        <w:rPr>
          <w:rFonts w:asciiTheme="minorHAnsi" w:eastAsia="Calibri" w:hAnsiTheme="minorHAnsi" w:cs="Poppins"/>
          <w:color w:val="auto"/>
          <w:kern w:val="2"/>
          <w:sz w:val="18"/>
          <w:szCs w:val="18"/>
          <w:lang w:val="de-DE" w:bidi="he-IL"/>
        </w:rPr>
        <w:t xml:space="preserve">sucht nach Argumenten, um sie </w:t>
      </w:r>
      <w:r w:rsidR="00456254">
        <w:rPr>
          <w:rFonts w:asciiTheme="minorHAnsi" w:eastAsia="Calibri" w:hAnsiTheme="minorHAnsi" w:cs="Poppins"/>
          <w:color w:val="auto"/>
          <w:kern w:val="2"/>
          <w:sz w:val="18"/>
          <w:szCs w:val="18"/>
          <w:lang w:val="de-DE" w:bidi="he-IL"/>
        </w:rPr>
        <w:t>zu aktiver</w:t>
      </w:r>
      <w:r w:rsidRPr="00293317">
        <w:rPr>
          <w:rFonts w:asciiTheme="minorHAnsi" w:eastAsia="Calibri" w:hAnsiTheme="minorHAnsi" w:cs="Poppins"/>
          <w:color w:val="auto"/>
          <w:kern w:val="2"/>
          <w:sz w:val="18"/>
          <w:szCs w:val="18"/>
          <w:lang w:val="de-DE" w:bidi="he-IL"/>
        </w:rPr>
        <w:t xml:space="preserve"> </w:t>
      </w:r>
      <w:r w:rsidR="00F74813">
        <w:rPr>
          <w:rFonts w:asciiTheme="minorHAnsi" w:eastAsia="Calibri" w:hAnsiTheme="minorHAnsi" w:cs="Poppins"/>
          <w:color w:val="auto"/>
          <w:kern w:val="2"/>
          <w:sz w:val="18"/>
          <w:szCs w:val="18"/>
          <w:lang w:val="de-DE" w:bidi="he-IL"/>
        </w:rPr>
        <w:t>Be</w:t>
      </w:r>
      <w:r w:rsidRPr="00293317">
        <w:rPr>
          <w:rFonts w:asciiTheme="minorHAnsi" w:eastAsia="Calibri" w:hAnsiTheme="minorHAnsi" w:cs="Poppins"/>
          <w:color w:val="auto"/>
          <w:kern w:val="2"/>
          <w:sz w:val="18"/>
          <w:szCs w:val="18"/>
          <w:lang w:val="de-DE" w:bidi="he-IL"/>
        </w:rPr>
        <w:t>wirtschaft</w:t>
      </w:r>
      <w:r w:rsidR="00F74813">
        <w:rPr>
          <w:rFonts w:asciiTheme="minorHAnsi" w:eastAsia="Calibri" w:hAnsiTheme="minorHAnsi" w:cs="Poppins"/>
          <w:color w:val="auto"/>
          <w:kern w:val="2"/>
          <w:sz w:val="18"/>
          <w:szCs w:val="18"/>
          <w:lang w:val="de-DE" w:bidi="he-IL"/>
        </w:rPr>
        <w:t>ung</w:t>
      </w:r>
      <w:r w:rsidRPr="00293317">
        <w:rPr>
          <w:rFonts w:asciiTheme="minorHAnsi" w:eastAsia="Calibri" w:hAnsiTheme="minorHAnsi" w:cs="Poppins"/>
          <w:color w:val="auto"/>
          <w:kern w:val="2"/>
          <w:sz w:val="18"/>
          <w:szCs w:val="18"/>
          <w:lang w:val="de-DE" w:bidi="he-IL"/>
        </w:rPr>
        <w:t xml:space="preserve"> </w:t>
      </w:r>
      <w:r w:rsidR="00456254" w:rsidRPr="00293317">
        <w:rPr>
          <w:rFonts w:asciiTheme="minorHAnsi" w:eastAsia="Calibri" w:hAnsiTheme="minorHAnsi" w:cs="Poppins"/>
          <w:color w:val="auto"/>
          <w:kern w:val="2"/>
          <w:sz w:val="18"/>
          <w:szCs w:val="18"/>
          <w:lang w:val="de-DE" w:bidi="he-IL"/>
        </w:rPr>
        <w:t>zu motivieren</w:t>
      </w:r>
      <w:r w:rsidRPr="00293317">
        <w:rPr>
          <w:rFonts w:asciiTheme="minorHAnsi" w:eastAsia="Calibri" w:hAnsiTheme="minorHAnsi" w:cs="Poppins"/>
          <w:color w:val="auto"/>
          <w:kern w:val="2"/>
          <w:sz w:val="18"/>
          <w:szCs w:val="18"/>
          <w:lang w:val="de-DE" w:bidi="he-IL"/>
        </w:rPr>
        <w:t xml:space="preserve">. Ziel ist es, die Methoden der naturnahen </w:t>
      </w:r>
      <w:r w:rsidR="00F74813">
        <w:rPr>
          <w:rFonts w:asciiTheme="minorHAnsi" w:eastAsia="Calibri" w:hAnsiTheme="minorHAnsi" w:cs="Poppins"/>
          <w:color w:val="auto"/>
          <w:kern w:val="2"/>
          <w:sz w:val="18"/>
          <w:szCs w:val="18"/>
          <w:lang w:val="de-DE" w:bidi="he-IL"/>
        </w:rPr>
        <w:t>Wald</w:t>
      </w:r>
      <w:r w:rsidRPr="00293317">
        <w:rPr>
          <w:rFonts w:asciiTheme="minorHAnsi" w:eastAsia="Calibri" w:hAnsiTheme="minorHAnsi" w:cs="Poppins"/>
          <w:color w:val="auto"/>
          <w:kern w:val="2"/>
          <w:sz w:val="18"/>
          <w:szCs w:val="18"/>
          <w:lang w:val="de-DE" w:bidi="he-IL"/>
        </w:rPr>
        <w:t xml:space="preserve">wirtschaft zu integrieren, um das verfügbare </w:t>
      </w:r>
      <w:r w:rsidR="006A5057">
        <w:rPr>
          <w:rFonts w:asciiTheme="minorHAnsi" w:eastAsia="Calibri" w:hAnsiTheme="minorHAnsi" w:cs="Poppins"/>
          <w:color w:val="auto"/>
          <w:kern w:val="2"/>
          <w:sz w:val="18"/>
          <w:szCs w:val="18"/>
          <w:lang w:val="de-DE" w:bidi="he-IL"/>
        </w:rPr>
        <w:t>A</w:t>
      </w:r>
      <w:r w:rsidRPr="00293317">
        <w:rPr>
          <w:rFonts w:asciiTheme="minorHAnsi" w:eastAsia="Calibri" w:hAnsiTheme="minorHAnsi" w:cs="Poppins"/>
          <w:color w:val="auto"/>
          <w:kern w:val="2"/>
          <w:sz w:val="18"/>
          <w:szCs w:val="18"/>
          <w:lang w:val="de-DE" w:bidi="he-IL"/>
        </w:rPr>
        <w:t xml:space="preserve">ngebot zu erweitern und ein harmonisiertes System zur Zahlung für Ökosystemdienstleistungen (PES) für Kohlenstoffsenken in Europa zu entwickeln. Durch die Anpassung von Lösungen für </w:t>
      </w:r>
      <w:r w:rsidR="006A5057">
        <w:rPr>
          <w:rFonts w:asciiTheme="minorHAnsi" w:eastAsia="Calibri" w:hAnsiTheme="minorHAnsi" w:cs="Poppins"/>
          <w:color w:val="auto"/>
          <w:kern w:val="2"/>
          <w:sz w:val="18"/>
          <w:szCs w:val="18"/>
          <w:lang w:val="de-DE" w:bidi="he-IL"/>
        </w:rPr>
        <w:t>den K</w:t>
      </w:r>
      <w:r w:rsidRPr="00293317">
        <w:rPr>
          <w:rFonts w:asciiTheme="minorHAnsi" w:eastAsia="Calibri" w:hAnsiTheme="minorHAnsi" w:cs="Poppins"/>
          <w:color w:val="auto"/>
          <w:kern w:val="2"/>
          <w:sz w:val="18"/>
          <w:szCs w:val="18"/>
          <w:lang w:val="de-DE" w:bidi="he-IL"/>
        </w:rPr>
        <w:t>lein</w:t>
      </w:r>
      <w:r w:rsidR="006A5057">
        <w:rPr>
          <w:rFonts w:asciiTheme="minorHAnsi" w:eastAsia="Calibri" w:hAnsiTheme="minorHAnsi" w:cs="Poppins"/>
          <w:color w:val="auto"/>
          <w:kern w:val="2"/>
          <w:sz w:val="18"/>
          <w:szCs w:val="18"/>
          <w:lang w:val="de-DE" w:bidi="he-IL"/>
        </w:rPr>
        <w:t>privatwald</w:t>
      </w:r>
      <w:r w:rsidRPr="00293317">
        <w:rPr>
          <w:rFonts w:asciiTheme="minorHAnsi" w:eastAsia="Calibri" w:hAnsiTheme="minorHAnsi" w:cs="Poppins"/>
          <w:color w:val="auto"/>
          <w:kern w:val="2"/>
          <w:sz w:val="18"/>
          <w:szCs w:val="18"/>
          <w:lang w:val="de-DE" w:bidi="he-IL"/>
        </w:rPr>
        <w:t xml:space="preserve"> versucht SMURF, die Kohlenstoffwirtschaft und die Biodiversitätspflege zu fördern, wobei die Wertschöpfung von Forstprodukten berücksichtigt wird. Mit einem multidisziplinären Ansatz und der Beteiligung verschiedener Akteure des Sektors bietet SMURF Lösungen für die gesamte Wertschöpfungskette des Forstsektors, die es zu stärken gilt.</w:t>
      </w:r>
    </w:p>
    <w:p w14:paraId="1368D3FB" w14:textId="77777777" w:rsidR="00722CC8" w:rsidRPr="00293317" w:rsidRDefault="00722CC8" w:rsidP="00B2782D">
      <w:pPr>
        <w:pStyle w:val="Default"/>
        <w:pBdr>
          <w:top w:val="single" w:sz="4" w:space="1" w:color="auto"/>
          <w:left w:val="single" w:sz="4" w:space="4" w:color="auto"/>
          <w:bottom w:val="single" w:sz="4" w:space="1" w:color="auto"/>
          <w:right w:val="single" w:sz="4" w:space="4" w:color="auto"/>
        </w:pBdr>
        <w:spacing w:after="105"/>
        <w:jc w:val="both"/>
        <w:rPr>
          <w:rFonts w:asciiTheme="minorHAnsi" w:eastAsia="Calibri" w:hAnsiTheme="minorHAnsi" w:cs="Poppins"/>
          <w:color w:val="auto"/>
          <w:kern w:val="2"/>
          <w:sz w:val="18"/>
          <w:szCs w:val="18"/>
          <w:lang w:val="de-DE" w:bidi="he-IL"/>
        </w:rPr>
      </w:pPr>
      <w:r w:rsidRPr="00293317">
        <w:rPr>
          <w:rFonts w:asciiTheme="minorHAnsi" w:eastAsia="Calibri" w:hAnsiTheme="minorHAnsi" w:cs="Poppins"/>
          <w:color w:val="auto"/>
          <w:kern w:val="2"/>
          <w:sz w:val="18"/>
          <w:szCs w:val="18"/>
          <w:lang w:val="de-DE" w:bidi="he-IL"/>
        </w:rPr>
        <w:lastRenderedPageBreak/>
        <w:t>Zehn Organisationen aus Spanien, Belgien, Italien, Frankreich, Portugal und Dänemark arbeiten mit einem translationalen, multidisziplinären und multi-akteurs Ansatz zusammen. Dieses Projekt wird von der Europäischen Exekutivagentur für Forschung (REA) im Rahmen des Horizon Europe Programms finanziert.</w:t>
      </w:r>
    </w:p>
    <w:p w14:paraId="3798F88F" w14:textId="77777777" w:rsidR="00722CC8" w:rsidRPr="00F13B18" w:rsidRDefault="00722CC8" w:rsidP="00722CC8">
      <w:pPr>
        <w:jc w:val="both"/>
        <w:rPr>
          <w:lang w:val="de-DE"/>
        </w:rPr>
      </w:pPr>
      <w:r w:rsidRPr="00F13B18">
        <w:rPr>
          <w:lang w:val="de-DE"/>
        </w:rPr>
        <w:t xml:space="preserve">Für weitere Informationen über das SMURF-Projekt, besuchen Sie </w:t>
      </w:r>
      <w:r>
        <w:fldChar w:fldCharType="begin"/>
      </w:r>
      <w:r w:rsidRPr="00205063">
        <w:rPr>
          <w:lang w:val="de-DE"/>
        </w:rPr>
        <w:instrText>HYPERLINK "http://www.smurfproject.eu"</w:instrText>
      </w:r>
      <w:r>
        <w:fldChar w:fldCharType="separate"/>
      </w:r>
      <w:r w:rsidRPr="00F13B18">
        <w:rPr>
          <w:rStyle w:val="Hipervnculo"/>
          <w:lang w:val="de-DE"/>
        </w:rPr>
        <w:t>www.smurfproject.eu</w:t>
      </w:r>
      <w:r>
        <w:fldChar w:fldCharType="end"/>
      </w:r>
      <w:r w:rsidRPr="00F13B18">
        <w:rPr>
          <w:lang w:val="de-DE"/>
        </w:rPr>
        <w:t>.</w:t>
      </w:r>
    </w:p>
    <w:p w14:paraId="02845E85" w14:textId="77777777" w:rsidR="00722CC8" w:rsidRPr="00205063" w:rsidRDefault="00722CC8" w:rsidP="00722CC8">
      <w:pPr>
        <w:rPr>
          <w:b/>
          <w:bCs/>
          <w:color w:val="009933" w:themeColor="accent2"/>
          <w:sz w:val="22"/>
          <w:szCs w:val="22"/>
          <w:lang w:val="it-IT"/>
        </w:rPr>
      </w:pPr>
      <w:r w:rsidRPr="00205063">
        <w:rPr>
          <w:b/>
          <w:bCs/>
          <w:color w:val="009933" w:themeColor="accent2"/>
          <w:sz w:val="22"/>
          <w:szCs w:val="22"/>
          <w:lang w:val="it-IT"/>
        </w:rPr>
        <w:t xml:space="preserve">Kontaktinformationen: </w:t>
      </w:r>
    </w:p>
    <w:p w14:paraId="2B2ABC41" w14:textId="77777777" w:rsidR="00722CC8" w:rsidRPr="00F13B18" w:rsidRDefault="00722CC8" w:rsidP="00722CC8">
      <w:pPr>
        <w:rPr>
          <w:lang w:val="de-DE"/>
        </w:rPr>
      </w:pPr>
      <w:r w:rsidRPr="00205063">
        <w:rPr>
          <w:lang w:val="it-IT"/>
        </w:rPr>
        <w:t xml:space="preserve">Álvaro Picardo. Projektkoordinator. CESEFOR (Soria, Spanien). </w:t>
      </w:r>
      <w:r>
        <w:fldChar w:fldCharType="begin"/>
      </w:r>
      <w:r w:rsidRPr="00205063">
        <w:rPr>
          <w:lang w:val="it-IT"/>
        </w:rPr>
        <w:instrText>HYPERLINK "mailto:alvaro.picardo@cesefor.com"</w:instrText>
      </w:r>
      <w:r>
        <w:fldChar w:fldCharType="separate"/>
      </w:r>
      <w:r w:rsidRPr="00F13B18">
        <w:rPr>
          <w:rStyle w:val="Hipervnculo"/>
          <w:lang w:val="de-DE"/>
        </w:rPr>
        <w:t>alvaro.picardo@cesefor.com</w:t>
      </w:r>
      <w:r>
        <w:fldChar w:fldCharType="end"/>
      </w:r>
      <w:r w:rsidRPr="00F13B18">
        <w:rPr>
          <w:lang w:val="de-DE"/>
        </w:rPr>
        <w:t xml:space="preserve"> </w:t>
      </w:r>
    </w:p>
    <w:p w14:paraId="2184DC57" w14:textId="77777777" w:rsidR="00722CC8" w:rsidRPr="00722CC8" w:rsidRDefault="00722CC8" w:rsidP="00722CC8">
      <w:pPr>
        <w:rPr>
          <w:lang w:val="es-ES"/>
        </w:rPr>
      </w:pPr>
      <w:r w:rsidRPr="00F13B18">
        <w:rPr>
          <w:lang w:val="de-DE"/>
        </w:rPr>
        <w:t xml:space="preserve">Josefina Trecco. Leiterin der Kommunikation und des Marketings. </w:t>
      </w:r>
      <w:r w:rsidRPr="00722CC8">
        <w:rPr>
          <w:lang w:val="es-ES"/>
        </w:rPr>
        <w:t xml:space="preserve">Contactica (Madrid, </w:t>
      </w:r>
      <w:proofErr w:type="spellStart"/>
      <w:r w:rsidRPr="00722CC8">
        <w:rPr>
          <w:lang w:val="es-ES"/>
        </w:rPr>
        <w:t>Spanien</w:t>
      </w:r>
      <w:proofErr w:type="spellEnd"/>
      <w:r w:rsidRPr="00722CC8">
        <w:rPr>
          <w:lang w:val="es-ES"/>
        </w:rPr>
        <w:t xml:space="preserve">). </w:t>
      </w:r>
      <w:hyperlink r:id="rId11" w:history="1">
        <w:r w:rsidRPr="00722CC8">
          <w:rPr>
            <w:rStyle w:val="Hipervnculo"/>
            <w:lang w:val="es-ES"/>
          </w:rPr>
          <w:t>josefina.trecco@contactica.es</w:t>
        </w:r>
      </w:hyperlink>
    </w:p>
    <w:p w14:paraId="5C73CF02" w14:textId="77777777" w:rsidR="00722CC8" w:rsidRPr="006A1F1C" w:rsidRDefault="00722CC8" w:rsidP="00B36357">
      <w:pPr>
        <w:jc w:val="both"/>
        <w:rPr>
          <w:sz w:val="18"/>
          <w:szCs w:val="18"/>
          <w:lang w:val="es-ES"/>
        </w:rPr>
      </w:pPr>
    </w:p>
    <w:sectPr w:rsidR="00722CC8" w:rsidRPr="006A1F1C" w:rsidSect="00682489">
      <w:headerReference w:type="default" r:id="rId12"/>
      <w:footerReference w:type="default" r:id="rId13"/>
      <w:pgSz w:w="11906" w:h="16838"/>
      <w:pgMar w:top="851" w:right="1701" w:bottom="1417" w:left="1701" w:header="73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1E3F26" w14:textId="77777777" w:rsidR="0092574A" w:rsidRPr="00C84843" w:rsidRDefault="0092574A" w:rsidP="00C64AD9">
      <w:r w:rsidRPr="00C84843">
        <w:separator/>
      </w:r>
    </w:p>
    <w:p w14:paraId="456940F0" w14:textId="77777777" w:rsidR="0092574A" w:rsidRPr="00C84843" w:rsidRDefault="0092574A" w:rsidP="00C64AD9"/>
    <w:p w14:paraId="71ED1080" w14:textId="77777777" w:rsidR="0092574A" w:rsidRPr="00C84843" w:rsidRDefault="0092574A" w:rsidP="00C64AD9"/>
    <w:p w14:paraId="2E9EEC1F" w14:textId="77777777" w:rsidR="0092574A" w:rsidRDefault="0092574A"/>
  </w:endnote>
  <w:endnote w:type="continuationSeparator" w:id="0">
    <w:p w14:paraId="0ACDB731" w14:textId="77777777" w:rsidR="0092574A" w:rsidRPr="00C84843" w:rsidRDefault="0092574A" w:rsidP="00C64AD9">
      <w:r w:rsidRPr="00C84843">
        <w:continuationSeparator/>
      </w:r>
    </w:p>
    <w:p w14:paraId="10F98CB9" w14:textId="77777777" w:rsidR="0092574A" w:rsidRPr="00C84843" w:rsidRDefault="0092574A" w:rsidP="00C64AD9"/>
    <w:p w14:paraId="50985858" w14:textId="77777777" w:rsidR="0092574A" w:rsidRPr="00C84843" w:rsidRDefault="0092574A" w:rsidP="00C64AD9"/>
    <w:p w14:paraId="7F81F837" w14:textId="77777777" w:rsidR="0092574A" w:rsidRDefault="0092574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Poppins">
    <w:charset w:val="00"/>
    <w:family w:val="auto"/>
    <w:pitch w:val="variable"/>
    <w:sig w:usb0="00008007" w:usb1="00000000" w:usb2="00000000" w:usb3="00000000" w:csb0="0000009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Poppins Medium">
    <w:charset w:val="00"/>
    <w:family w:val="auto"/>
    <w:pitch w:val="variable"/>
    <w:sig w:usb0="00008007" w:usb1="00000000" w:usb2="00000000" w:usb3="00000000" w:csb0="00000093" w:csb1="00000000"/>
  </w:font>
  <w:font w:name="Mulish">
    <w:altName w:val="Calibri"/>
    <w:charset w:val="00"/>
    <w:family w:val="auto"/>
    <w:pitch w:val="variable"/>
    <w:sig w:usb0="A00002FF" w:usb1="5000204B" w:usb2="00000000" w:usb3="00000000" w:csb0="00000197" w:csb1="00000000"/>
  </w:font>
  <w:font w:name="Arial Nova Cond">
    <w:charset w:val="00"/>
    <w:family w:val="swiss"/>
    <w:pitch w:val="variable"/>
    <w:sig w:usb0="0000028F" w:usb1="00000002" w:usb2="00000000" w:usb3="00000000" w:csb0="0000019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6002563"/>
      <w:docPartObj>
        <w:docPartGallery w:val="Page Numbers (Bottom of Page)"/>
        <w:docPartUnique/>
      </w:docPartObj>
    </w:sdtPr>
    <w:sdtContent>
      <w:p w14:paraId="5FEB1DC5" w14:textId="77777777" w:rsidR="00DB1425" w:rsidRPr="00C84843" w:rsidRDefault="00DB4404" w:rsidP="00C64AD9">
        <w:pPr>
          <w:pStyle w:val="Piedepgina"/>
          <w:jc w:val="center"/>
        </w:pPr>
        <w:r w:rsidRPr="00C84843">
          <w:t xml:space="preserve">p. </w:t>
        </w:r>
        <w:r w:rsidR="00DB1425" w:rsidRPr="00C84843">
          <w:fldChar w:fldCharType="begin"/>
        </w:r>
        <w:r w:rsidR="00DB1425" w:rsidRPr="00C84843">
          <w:instrText>PAGE   \* MERGEFORMAT</w:instrText>
        </w:r>
        <w:r w:rsidR="00DB1425" w:rsidRPr="00C84843">
          <w:fldChar w:fldCharType="separate"/>
        </w:r>
        <w:r w:rsidR="00DB1425" w:rsidRPr="00C84843">
          <w:t>2</w:t>
        </w:r>
        <w:r w:rsidR="00DB1425" w:rsidRPr="00C84843">
          <w:fldChar w:fldCharType="end"/>
        </w:r>
      </w:p>
    </w:sdtContent>
  </w:sdt>
  <w:p w14:paraId="59E1FA89" w14:textId="77777777" w:rsidR="00CD3967" w:rsidRPr="006F5D24" w:rsidRDefault="002C0046" w:rsidP="002C0046">
    <w:pPr>
      <w:pStyle w:val="Piedepgina"/>
      <w:rPr>
        <w:sz w:val="16"/>
        <w:szCs w:val="16"/>
      </w:rPr>
    </w:pPr>
    <w:r w:rsidRPr="006F5D24">
      <w:rPr>
        <w:sz w:val="16"/>
        <w:szCs w:val="16"/>
      </w:rPr>
      <w:t>Funded by the European Union. Views and opinions expressed are however those of the author(s) only and do not necessarily reflect those of the European Union or European Research Executive Agency (REA). Neither the European Union nor the granting authority can be held responsible for them.</w:t>
    </w:r>
  </w:p>
  <w:p w14:paraId="4D555028" w14:textId="77777777" w:rsidR="00D66761" w:rsidRDefault="00D6676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FFC809" w14:textId="77777777" w:rsidR="0092574A" w:rsidRPr="00C84843" w:rsidRDefault="0092574A" w:rsidP="00C64AD9">
      <w:r w:rsidRPr="00C84843">
        <w:separator/>
      </w:r>
    </w:p>
    <w:p w14:paraId="1EA9F902" w14:textId="77777777" w:rsidR="0092574A" w:rsidRPr="00C84843" w:rsidRDefault="0092574A" w:rsidP="00C64AD9"/>
    <w:p w14:paraId="79C27F64" w14:textId="77777777" w:rsidR="0092574A" w:rsidRPr="00C84843" w:rsidRDefault="0092574A" w:rsidP="00C64AD9"/>
    <w:p w14:paraId="359E0BFA" w14:textId="77777777" w:rsidR="0092574A" w:rsidRDefault="0092574A"/>
  </w:footnote>
  <w:footnote w:type="continuationSeparator" w:id="0">
    <w:p w14:paraId="6CF680EE" w14:textId="77777777" w:rsidR="0092574A" w:rsidRPr="00C84843" w:rsidRDefault="0092574A" w:rsidP="00C64AD9">
      <w:r w:rsidRPr="00C84843">
        <w:continuationSeparator/>
      </w:r>
    </w:p>
    <w:p w14:paraId="47BD281E" w14:textId="77777777" w:rsidR="0092574A" w:rsidRPr="00C84843" w:rsidRDefault="0092574A" w:rsidP="00C64AD9"/>
    <w:p w14:paraId="3EB8D1E7" w14:textId="77777777" w:rsidR="0092574A" w:rsidRPr="00C84843" w:rsidRDefault="0092574A" w:rsidP="00C64AD9"/>
    <w:p w14:paraId="53595DF0" w14:textId="77777777" w:rsidR="0092574A" w:rsidRDefault="0092574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ECDC8" w14:textId="77777777" w:rsidR="008C1B03" w:rsidRPr="00C84843" w:rsidRDefault="00CD3967" w:rsidP="00C64AD9">
    <w:pPr>
      <w:pStyle w:val="Encabezado"/>
    </w:pPr>
    <w:r w:rsidRPr="00C84843">
      <w:rPr>
        <w:noProof/>
      </w:rPr>
      <w:drawing>
        <wp:anchor distT="0" distB="0" distL="114300" distR="114300" simplePos="0" relativeHeight="251659264" behindDoc="0" locked="0" layoutInCell="1" allowOverlap="1" wp14:anchorId="2B507AE7" wp14:editId="4987BCA5">
          <wp:simplePos x="0" y="0"/>
          <wp:positionH relativeFrom="margin">
            <wp:align>right</wp:align>
          </wp:positionH>
          <wp:positionV relativeFrom="paragraph">
            <wp:posOffset>-5080</wp:posOffset>
          </wp:positionV>
          <wp:extent cx="1425575" cy="433705"/>
          <wp:effectExtent l="0" t="0" r="3175" b="4445"/>
          <wp:wrapSquare wrapText="bothSides"/>
          <wp:docPr id="16891119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805159" name="Imagen 1229805159"/>
                  <pic:cNvPicPr/>
                </pic:nvPicPr>
                <pic:blipFill rotWithShape="1">
                  <a:blip r:embed="rId1">
                    <a:extLst>
                      <a:ext uri="{28A0092B-C50C-407E-A947-70E740481C1C}">
                        <a14:useLocalDpi xmlns:a14="http://schemas.microsoft.com/office/drawing/2010/main" val="0"/>
                      </a:ext>
                    </a:extLst>
                  </a:blip>
                  <a:srcRect l="17109" t="31151" r="16392" b="31718"/>
                  <a:stretch/>
                </pic:blipFill>
                <pic:spPr bwMode="auto">
                  <a:xfrm>
                    <a:off x="0" y="0"/>
                    <a:ext cx="1425575" cy="4337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84843">
      <w:rPr>
        <w:noProof/>
      </w:rPr>
      <w:drawing>
        <wp:anchor distT="0" distB="0" distL="114300" distR="114300" simplePos="0" relativeHeight="251658240" behindDoc="0" locked="0" layoutInCell="1" allowOverlap="1" wp14:anchorId="775CDFC7" wp14:editId="4101CD54">
          <wp:simplePos x="0" y="0"/>
          <wp:positionH relativeFrom="margin">
            <wp:align>left</wp:align>
          </wp:positionH>
          <wp:positionV relativeFrom="topMargin">
            <wp:posOffset>474980</wp:posOffset>
          </wp:positionV>
          <wp:extent cx="1704975" cy="389255"/>
          <wp:effectExtent l="0" t="0" r="0" b="0"/>
          <wp:wrapNone/>
          <wp:docPr id="36540213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412994" name="Imagen 2100412994"/>
                  <pic:cNvPicPr/>
                </pic:nvPicPr>
                <pic:blipFill>
                  <a:blip r:embed="rId2">
                    <a:extLst>
                      <a:ext uri="{28A0092B-C50C-407E-A947-70E740481C1C}">
                        <a14:useLocalDpi xmlns:a14="http://schemas.microsoft.com/office/drawing/2010/main" val="0"/>
                      </a:ext>
                    </a:extLst>
                  </a:blip>
                  <a:stretch>
                    <a:fillRect/>
                  </a:stretch>
                </pic:blipFill>
                <pic:spPr>
                  <a:xfrm>
                    <a:off x="0" y="0"/>
                    <a:ext cx="1704975" cy="389255"/>
                  </a:xfrm>
                  <a:prstGeom prst="rect">
                    <a:avLst/>
                  </a:prstGeom>
                </pic:spPr>
              </pic:pic>
            </a:graphicData>
          </a:graphic>
          <wp14:sizeRelH relativeFrom="margin">
            <wp14:pctWidth>0</wp14:pctWidth>
          </wp14:sizeRelH>
          <wp14:sizeRelV relativeFrom="margin">
            <wp14:pctHeight>0</wp14:pctHeight>
          </wp14:sizeRelV>
        </wp:anchor>
      </w:drawing>
    </w:r>
  </w:p>
  <w:p w14:paraId="7E392953" w14:textId="77777777" w:rsidR="008C1B03" w:rsidRPr="00C84843" w:rsidRDefault="008C1B03" w:rsidP="00C64AD9">
    <w:pPr>
      <w:pStyle w:val="Encabezado"/>
    </w:pPr>
  </w:p>
  <w:p w14:paraId="71F353C7" w14:textId="21C95B8E" w:rsidR="00A401E5" w:rsidRPr="00C84843" w:rsidRDefault="00A401E5" w:rsidP="00C64AD9"/>
  <w:p w14:paraId="1EE1F899" w14:textId="44CA22F0" w:rsidR="00D66761" w:rsidRDefault="00205063">
    <w:r>
      <w:rPr>
        <w:noProof/>
      </w:rPr>
      <mc:AlternateContent>
        <mc:Choice Requires="wps">
          <w:drawing>
            <wp:anchor distT="0" distB="0" distL="114300" distR="114300" simplePos="0" relativeHeight="251661312" behindDoc="0" locked="0" layoutInCell="1" allowOverlap="1" wp14:anchorId="7D2EE90D" wp14:editId="14F5DD1A">
              <wp:simplePos x="0" y="0"/>
              <wp:positionH relativeFrom="leftMargin">
                <wp:posOffset>-15240</wp:posOffset>
              </wp:positionH>
              <wp:positionV relativeFrom="paragraph">
                <wp:posOffset>405765</wp:posOffset>
              </wp:positionV>
              <wp:extent cx="1095375" cy="8277225"/>
              <wp:effectExtent l="0" t="0" r="0" b="9525"/>
              <wp:wrapNone/>
              <wp:docPr id="1057861226" name="Cuadro de texto 1"/>
              <wp:cNvGraphicFramePr/>
              <a:graphic xmlns:a="http://schemas.openxmlformats.org/drawingml/2006/main">
                <a:graphicData uri="http://schemas.microsoft.com/office/word/2010/wordprocessingShape">
                  <wps:wsp>
                    <wps:cNvSpPr txBox="1"/>
                    <wps:spPr>
                      <a:xfrm>
                        <a:off x="0" y="0"/>
                        <a:ext cx="1095375" cy="8277225"/>
                      </a:xfrm>
                      <a:prstGeom prst="rect">
                        <a:avLst/>
                      </a:prstGeom>
                      <a:noFill/>
                      <a:ln>
                        <a:noFill/>
                      </a:ln>
                    </wps:spPr>
                    <wps:txbx>
                      <w:txbxContent>
                        <w:p w14:paraId="2295D136" w14:textId="23CA1382" w:rsidR="00205063" w:rsidRPr="00205063" w:rsidRDefault="00205063" w:rsidP="00205063">
                          <w:pPr>
                            <w:pStyle w:val="Encabezado"/>
                            <w:jc w:val="right"/>
                            <w:rPr>
                              <w:rFonts w:asciiTheme="majorHAnsi" w:hAnsiTheme="majorHAnsi"/>
                              <w:b/>
                              <w:noProof/>
                              <w:color w:val="FF9900" w:themeColor="accent1"/>
                              <w:sz w:val="144"/>
                              <w:szCs w:val="144"/>
                              <w:lang w:val="es-ES"/>
                              <w14:textOutline w14:w="11112" w14:cap="flat" w14:cmpd="sng" w14:algn="ctr">
                                <w14:solidFill>
                                  <w14:schemeClr w14:val="accent1"/>
                                </w14:solidFill>
                                <w14:prstDash w14:val="solid"/>
                                <w14:round/>
                              </w14:textOutline>
                            </w:rPr>
                          </w:pPr>
                          <w:r w:rsidRPr="00205063">
                            <w:rPr>
                              <w:rFonts w:asciiTheme="majorHAnsi" w:hAnsiTheme="majorHAnsi"/>
                              <w:b/>
                              <w:noProof/>
                              <w:color w:val="FF9900" w:themeColor="accent1"/>
                              <w:sz w:val="144"/>
                              <w:szCs w:val="144"/>
                              <w:lang w:val="es-ES"/>
                              <w14:textOutline w14:w="11112" w14:cap="flat" w14:cmpd="sng" w14:algn="ctr">
                                <w14:solidFill>
                                  <w14:schemeClr w14:val="accent1"/>
                                </w14:solidFill>
                                <w14:prstDash w14:val="solid"/>
                                <w14:round/>
                              </w14:textOutline>
                            </w:rPr>
                            <w:t>P</w:t>
                          </w:r>
                          <w:r w:rsidRPr="00205063">
                            <w:rPr>
                              <w:rFonts w:asciiTheme="majorHAnsi" w:hAnsiTheme="majorHAnsi"/>
                              <w:b/>
                              <w:noProof/>
                              <w:color w:val="FF9900" w:themeColor="accent1"/>
                              <w:sz w:val="144"/>
                              <w:szCs w:val="144"/>
                              <w:lang w:val="es-ES"/>
                              <w14:textOutline w14:w="11112" w14:cap="flat" w14:cmpd="sng" w14:algn="ctr">
                                <w14:solidFill>
                                  <w14:schemeClr w14:val="accent1"/>
                                </w14:solidFill>
                                <w14:prstDash w14:val="solid"/>
                                <w14:round/>
                              </w14:textOutline>
                            </w:rPr>
                            <w:t>RESSEMITTEILUNG</w:t>
                          </w:r>
                        </w:p>
                        <w:p w14:paraId="6ABD4CE8" w14:textId="624A7388" w:rsidR="003D5979" w:rsidRPr="006F5D24" w:rsidRDefault="003D5979" w:rsidP="003D5979">
                          <w:pPr>
                            <w:pStyle w:val="Encabezado"/>
                            <w:spacing w:after="0"/>
                            <w:jc w:val="right"/>
                            <w:rPr>
                              <w:rFonts w:asciiTheme="majorHAnsi" w:hAnsiTheme="majorHAnsi"/>
                              <w:b/>
                              <w:noProof/>
                              <w:color w:val="FF9900" w:themeColor="accent1"/>
                              <w:sz w:val="144"/>
                              <w:szCs w:val="144"/>
                              <w14:textOutline w14:w="11112" w14:cap="flat" w14:cmpd="sng" w14:algn="ctr">
                                <w14:solidFill>
                                  <w14:schemeClr w14:val="accent1"/>
                                </w14:solidFill>
                                <w14:prstDash w14:val="solid"/>
                                <w14:round/>
                              </w14:textOutline>
                            </w:rPr>
                          </w:pP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2EE90D" id="_x0000_t202" coordsize="21600,21600" o:spt="202" path="m,l,21600r21600,l21600,xe">
              <v:stroke joinstyle="miter"/>
              <v:path gradientshapeok="t" o:connecttype="rect"/>
            </v:shapetype>
            <v:shape id="Cuadro de texto 1" o:spid="_x0000_s1026" type="#_x0000_t202" style="position:absolute;margin-left:-1.2pt;margin-top:31.95pt;width:86.25pt;height:651.75pt;z-index:25166131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" filled="f" stroked="f">
              <v:textbox style="layout-flow:vertical;mso-layout-flow-alt:bottom-to-top">
                <w:txbxContent>
                  <w:p w14:paraId="2295D136" w14:textId="23CA1382" w:rsidR="00205063" w:rsidRPr="00205063" w:rsidRDefault="00205063" w:rsidP="00205063">
                    <w:pPr>
                      <w:pStyle w:val="Encabezado"/>
                      <w:jc w:val="right"/>
                      <w:rPr>
                        <w:rFonts w:asciiTheme="majorHAnsi" w:hAnsiTheme="majorHAnsi"/>
                        <w:b/>
                        <w:noProof/>
                        <w:color w:val="FF9900" w:themeColor="accent1"/>
                        <w:sz w:val="144"/>
                        <w:szCs w:val="144"/>
                        <w:lang w:val="es-ES"/>
                        <w14:textOutline w14:w="11112" w14:cap="flat" w14:cmpd="sng" w14:algn="ctr">
                          <w14:solidFill>
                            <w14:schemeClr w14:val="accent1"/>
                          </w14:solidFill>
                          <w14:prstDash w14:val="solid"/>
                          <w14:round/>
                        </w14:textOutline>
                      </w:rPr>
                    </w:pPr>
                    <w:r w:rsidRPr="00205063">
                      <w:rPr>
                        <w:rFonts w:asciiTheme="majorHAnsi" w:hAnsiTheme="majorHAnsi"/>
                        <w:b/>
                        <w:noProof/>
                        <w:color w:val="FF9900" w:themeColor="accent1"/>
                        <w:sz w:val="144"/>
                        <w:szCs w:val="144"/>
                        <w:lang w:val="es-ES"/>
                        <w14:textOutline w14:w="11112" w14:cap="flat" w14:cmpd="sng" w14:algn="ctr">
                          <w14:solidFill>
                            <w14:schemeClr w14:val="accent1"/>
                          </w14:solidFill>
                          <w14:prstDash w14:val="solid"/>
                          <w14:round/>
                        </w14:textOutline>
                      </w:rPr>
                      <w:t>P</w:t>
                    </w:r>
                    <w:r w:rsidRPr="00205063">
                      <w:rPr>
                        <w:rFonts w:asciiTheme="majorHAnsi" w:hAnsiTheme="majorHAnsi"/>
                        <w:b/>
                        <w:noProof/>
                        <w:color w:val="FF9900" w:themeColor="accent1"/>
                        <w:sz w:val="144"/>
                        <w:szCs w:val="144"/>
                        <w:lang w:val="es-ES"/>
                        <w14:textOutline w14:w="11112" w14:cap="flat" w14:cmpd="sng" w14:algn="ctr">
                          <w14:solidFill>
                            <w14:schemeClr w14:val="accent1"/>
                          </w14:solidFill>
                          <w14:prstDash w14:val="solid"/>
                          <w14:round/>
                        </w14:textOutline>
                      </w:rPr>
                      <w:t>RESSEMITTEILUNG</w:t>
                    </w:r>
                  </w:p>
                  <w:p w14:paraId="6ABD4CE8" w14:textId="624A7388" w:rsidR="003D5979" w:rsidRPr="006F5D24" w:rsidRDefault="003D5979" w:rsidP="003D5979">
                    <w:pPr>
                      <w:pStyle w:val="Encabezado"/>
                      <w:spacing w:after="0"/>
                      <w:jc w:val="right"/>
                      <w:rPr>
                        <w:rFonts w:asciiTheme="majorHAnsi" w:hAnsiTheme="majorHAnsi"/>
                        <w:b/>
                        <w:noProof/>
                        <w:color w:val="FF9900" w:themeColor="accent1"/>
                        <w:sz w:val="144"/>
                        <w:szCs w:val="144"/>
                        <w14:textOutline w14:w="11112" w14:cap="flat" w14:cmpd="sng" w14:algn="ctr">
                          <w14:solidFill>
                            <w14:schemeClr w14:val="accent1"/>
                          </w14:solidFill>
                          <w14:prstDash w14:val="solid"/>
                          <w14:round/>
                        </w14:textOutline>
                      </w:rPr>
                    </w:pPr>
                  </w:p>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2537F"/>
    <w:multiLevelType w:val="hybridMultilevel"/>
    <w:tmpl w:val="93E2EE2E"/>
    <w:lvl w:ilvl="0" w:tplc="3670D7A6">
      <w:start w:val="4"/>
      <w:numFmt w:val="bullet"/>
      <w:lvlText w:val="-"/>
      <w:lvlJc w:val="left"/>
      <w:pPr>
        <w:ind w:left="720" w:hanging="360"/>
      </w:pPr>
      <w:rPr>
        <w:rFonts w:ascii="Century Gothic" w:eastAsia="Calibri" w:hAnsi="Century Gothic" w:cs="Poppin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FB7B1B"/>
    <w:multiLevelType w:val="hybridMultilevel"/>
    <w:tmpl w:val="49021EBE"/>
    <w:lvl w:ilvl="0" w:tplc="1FB6D4E2">
      <w:start w:val="1"/>
      <w:numFmt w:val="bullet"/>
      <w:lvlText w:val=""/>
      <w:lvlJc w:val="left"/>
      <w:pPr>
        <w:ind w:left="720" w:hanging="360"/>
      </w:pPr>
      <w:rPr>
        <w:rFonts w:ascii="Symbol" w:hAnsi="Symbol" w:hint="default"/>
        <w:b/>
        <w:i w:val="0"/>
        <w:color w:val="009933" w:themeColor="accent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D4A1198"/>
    <w:multiLevelType w:val="multilevel"/>
    <w:tmpl w:val="2E249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B36763"/>
    <w:multiLevelType w:val="hybridMultilevel"/>
    <w:tmpl w:val="423A0F7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46130BF5"/>
    <w:multiLevelType w:val="hybridMultilevel"/>
    <w:tmpl w:val="CD78F828"/>
    <w:lvl w:ilvl="0" w:tplc="3670D7A6">
      <w:start w:val="4"/>
      <w:numFmt w:val="bullet"/>
      <w:lvlText w:val="-"/>
      <w:lvlJc w:val="left"/>
      <w:pPr>
        <w:ind w:left="720" w:hanging="360"/>
      </w:pPr>
      <w:rPr>
        <w:rFonts w:ascii="Century Gothic" w:eastAsia="Calibri" w:hAnsi="Century Gothic" w:cs="Poppin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585166E8"/>
    <w:multiLevelType w:val="hybridMultilevel"/>
    <w:tmpl w:val="05E09B3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8976CA8"/>
    <w:multiLevelType w:val="hybridMultilevel"/>
    <w:tmpl w:val="AB66197C"/>
    <w:lvl w:ilvl="0" w:tplc="0C0A0001">
      <w:start w:val="1"/>
      <w:numFmt w:val="bullet"/>
      <w:lvlText w:val=""/>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5B6154F1"/>
    <w:multiLevelType w:val="multilevel"/>
    <w:tmpl w:val="E2F67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A700F79"/>
    <w:multiLevelType w:val="multilevel"/>
    <w:tmpl w:val="7C960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B770312"/>
    <w:multiLevelType w:val="hybridMultilevel"/>
    <w:tmpl w:val="05E09B3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715A540D"/>
    <w:multiLevelType w:val="multilevel"/>
    <w:tmpl w:val="658298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1BE52BB"/>
    <w:multiLevelType w:val="multilevel"/>
    <w:tmpl w:val="4B020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70200867">
    <w:abstractNumId w:val="10"/>
  </w:num>
  <w:num w:numId="2" w16cid:durableId="381371589">
    <w:abstractNumId w:val="1"/>
  </w:num>
  <w:num w:numId="3" w16cid:durableId="1974211841">
    <w:abstractNumId w:val="9"/>
  </w:num>
  <w:num w:numId="4" w16cid:durableId="1089812794">
    <w:abstractNumId w:val="5"/>
  </w:num>
  <w:num w:numId="5" w16cid:durableId="666832479">
    <w:abstractNumId w:val="3"/>
  </w:num>
  <w:num w:numId="6" w16cid:durableId="160238256">
    <w:abstractNumId w:val="2"/>
  </w:num>
  <w:num w:numId="7" w16cid:durableId="492570440">
    <w:abstractNumId w:val="7"/>
  </w:num>
  <w:num w:numId="8" w16cid:durableId="401878933">
    <w:abstractNumId w:val="0"/>
  </w:num>
  <w:num w:numId="9" w16cid:durableId="1771001599">
    <w:abstractNumId w:val="4"/>
  </w:num>
  <w:num w:numId="10" w16cid:durableId="1230311726">
    <w:abstractNumId w:val="6"/>
  </w:num>
  <w:num w:numId="11" w16cid:durableId="1280726134">
    <w:abstractNumId w:val="8"/>
  </w:num>
  <w:num w:numId="12" w16cid:durableId="14906347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5BE3"/>
    <w:rsid w:val="000059CC"/>
    <w:rsid w:val="00036732"/>
    <w:rsid w:val="00071AF2"/>
    <w:rsid w:val="0009096A"/>
    <w:rsid w:val="00091A11"/>
    <w:rsid w:val="00095AED"/>
    <w:rsid w:val="000C3A50"/>
    <w:rsid w:val="00111DD2"/>
    <w:rsid w:val="0012516D"/>
    <w:rsid w:val="0013008A"/>
    <w:rsid w:val="00155873"/>
    <w:rsid w:val="00196A67"/>
    <w:rsid w:val="001A37A6"/>
    <w:rsid w:val="001A7705"/>
    <w:rsid w:val="001A7CCB"/>
    <w:rsid w:val="001C5AB8"/>
    <w:rsid w:val="001D688B"/>
    <w:rsid w:val="001E073C"/>
    <w:rsid w:val="001E20A6"/>
    <w:rsid w:val="001E20B9"/>
    <w:rsid w:val="001F3703"/>
    <w:rsid w:val="0020304D"/>
    <w:rsid w:val="00204F64"/>
    <w:rsid w:val="00205063"/>
    <w:rsid w:val="002111D9"/>
    <w:rsid w:val="00216E7F"/>
    <w:rsid w:val="002523A3"/>
    <w:rsid w:val="0025564A"/>
    <w:rsid w:val="002643B0"/>
    <w:rsid w:val="00265173"/>
    <w:rsid w:val="00293317"/>
    <w:rsid w:val="002A461B"/>
    <w:rsid w:val="002B0E7D"/>
    <w:rsid w:val="002C0046"/>
    <w:rsid w:val="002D4D34"/>
    <w:rsid w:val="002E7021"/>
    <w:rsid w:val="002F576F"/>
    <w:rsid w:val="00304AED"/>
    <w:rsid w:val="00310C66"/>
    <w:rsid w:val="00316501"/>
    <w:rsid w:val="00317266"/>
    <w:rsid w:val="0032494C"/>
    <w:rsid w:val="00340CBC"/>
    <w:rsid w:val="0035539F"/>
    <w:rsid w:val="00371131"/>
    <w:rsid w:val="00377C94"/>
    <w:rsid w:val="003862BB"/>
    <w:rsid w:val="00392971"/>
    <w:rsid w:val="003A19C3"/>
    <w:rsid w:val="003B6FB3"/>
    <w:rsid w:val="003D5979"/>
    <w:rsid w:val="003D7C34"/>
    <w:rsid w:val="003E2799"/>
    <w:rsid w:val="003E7BBA"/>
    <w:rsid w:val="0041401C"/>
    <w:rsid w:val="004143E9"/>
    <w:rsid w:val="0042200A"/>
    <w:rsid w:val="00437E95"/>
    <w:rsid w:val="00456254"/>
    <w:rsid w:val="004920A4"/>
    <w:rsid w:val="004A063F"/>
    <w:rsid w:val="004E0AC0"/>
    <w:rsid w:val="00517410"/>
    <w:rsid w:val="0052158A"/>
    <w:rsid w:val="0052182E"/>
    <w:rsid w:val="00530B88"/>
    <w:rsid w:val="00533BEB"/>
    <w:rsid w:val="0055138D"/>
    <w:rsid w:val="005623F3"/>
    <w:rsid w:val="00565E88"/>
    <w:rsid w:val="005E52CC"/>
    <w:rsid w:val="0062614D"/>
    <w:rsid w:val="00641944"/>
    <w:rsid w:val="0064291F"/>
    <w:rsid w:val="00670830"/>
    <w:rsid w:val="00682489"/>
    <w:rsid w:val="006948F7"/>
    <w:rsid w:val="006A1F1C"/>
    <w:rsid w:val="006A5057"/>
    <w:rsid w:val="006A669B"/>
    <w:rsid w:val="006B4819"/>
    <w:rsid w:val="006B6FB9"/>
    <w:rsid w:val="006B7C93"/>
    <w:rsid w:val="006E493B"/>
    <w:rsid w:val="006F5D24"/>
    <w:rsid w:val="006F5E9C"/>
    <w:rsid w:val="00712182"/>
    <w:rsid w:val="00722CC8"/>
    <w:rsid w:val="00770EFB"/>
    <w:rsid w:val="00775D58"/>
    <w:rsid w:val="00792984"/>
    <w:rsid w:val="0079518C"/>
    <w:rsid w:val="007A1F35"/>
    <w:rsid w:val="007C4540"/>
    <w:rsid w:val="007C4C33"/>
    <w:rsid w:val="007E5D42"/>
    <w:rsid w:val="00804C46"/>
    <w:rsid w:val="00813B85"/>
    <w:rsid w:val="0081450C"/>
    <w:rsid w:val="00816F71"/>
    <w:rsid w:val="00824620"/>
    <w:rsid w:val="008252C3"/>
    <w:rsid w:val="00830D4E"/>
    <w:rsid w:val="00840030"/>
    <w:rsid w:val="008A27FA"/>
    <w:rsid w:val="008A76A0"/>
    <w:rsid w:val="008B3013"/>
    <w:rsid w:val="008B41F0"/>
    <w:rsid w:val="008C1B03"/>
    <w:rsid w:val="008F0C2B"/>
    <w:rsid w:val="00924C9D"/>
    <w:rsid w:val="0092574A"/>
    <w:rsid w:val="00941718"/>
    <w:rsid w:val="00950630"/>
    <w:rsid w:val="0098527D"/>
    <w:rsid w:val="00996A21"/>
    <w:rsid w:val="009D4EB0"/>
    <w:rsid w:val="00A1065B"/>
    <w:rsid w:val="00A329AA"/>
    <w:rsid w:val="00A401E5"/>
    <w:rsid w:val="00A420D5"/>
    <w:rsid w:val="00A55EA4"/>
    <w:rsid w:val="00A60568"/>
    <w:rsid w:val="00A81CAE"/>
    <w:rsid w:val="00AA09CA"/>
    <w:rsid w:val="00AC06FF"/>
    <w:rsid w:val="00AE1B83"/>
    <w:rsid w:val="00B11746"/>
    <w:rsid w:val="00B174A6"/>
    <w:rsid w:val="00B174C4"/>
    <w:rsid w:val="00B2782D"/>
    <w:rsid w:val="00B36357"/>
    <w:rsid w:val="00B57319"/>
    <w:rsid w:val="00B67D5B"/>
    <w:rsid w:val="00B90BF4"/>
    <w:rsid w:val="00B92717"/>
    <w:rsid w:val="00BF2A8D"/>
    <w:rsid w:val="00BF3904"/>
    <w:rsid w:val="00C00ABE"/>
    <w:rsid w:val="00C525FF"/>
    <w:rsid w:val="00C560E1"/>
    <w:rsid w:val="00C62932"/>
    <w:rsid w:val="00C64AD9"/>
    <w:rsid w:val="00C84843"/>
    <w:rsid w:val="00C97DAD"/>
    <w:rsid w:val="00CA1989"/>
    <w:rsid w:val="00CA7C42"/>
    <w:rsid w:val="00CB2F3E"/>
    <w:rsid w:val="00CB3330"/>
    <w:rsid w:val="00CB6344"/>
    <w:rsid w:val="00CB75CF"/>
    <w:rsid w:val="00CD3967"/>
    <w:rsid w:val="00D05A9F"/>
    <w:rsid w:val="00D10348"/>
    <w:rsid w:val="00D45705"/>
    <w:rsid w:val="00D66761"/>
    <w:rsid w:val="00D67CDD"/>
    <w:rsid w:val="00DB1425"/>
    <w:rsid w:val="00DB4404"/>
    <w:rsid w:val="00DB5BE3"/>
    <w:rsid w:val="00DD0A99"/>
    <w:rsid w:val="00DD5F8D"/>
    <w:rsid w:val="00DD6F49"/>
    <w:rsid w:val="00E15044"/>
    <w:rsid w:val="00E22355"/>
    <w:rsid w:val="00E530FD"/>
    <w:rsid w:val="00E82A28"/>
    <w:rsid w:val="00E83E02"/>
    <w:rsid w:val="00E9471A"/>
    <w:rsid w:val="00E94F9A"/>
    <w:rsid w:val="00EA0CC7"/>
    <w:rsid w:val="00EB0F67"/>
    <w:rsid w:val="00EC2D50"/>
    <w:rsid w:val="00EF5EB6"/>
    <w:rsid w:val="00F074C0"/>
    <w:rsid w:val="00F1501B"/>
    <w:rsid w:val="00F402C6"/>
    <w:rsid w:val="00F51FAA"/>
    <w:rsid w:val="00F67799"/>
    <w:rsid w:val="00F72540"/>
    <w:rsid w:val="00F74813"/>
    <w:rsid w:val="00F75160"/>
    <w:rsid w:val="00F9017E"/>
    <w:rsid w:val="00F951C6"/>
  </w:rsids>
  <m:mathPr>
    <m:mathFont m:val="Cambria Math"/>
    <m:brkBin m:val="before"/>
    <m:brkBinSub m:val="--"/>
    <m:smallFrac m:val="0"/>
    <m:dispDef/>
    <m:lMargin m:val="0"/>
    <m:rMargin m:val="0"/>
    <m:defJc m:val="centerGroup"/>
    <m:wrapIndent m:val="1440"/>
    <m:intLim m:val="subSup"/>
    <m:naryLim m:val="undOvr"/>
  </m:mathPr>
  <w:themeFontLang w:val="es-E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3A501F"/>
  <w15:chartTrackingRefBased/>
  <w15:docId w15:val="{14B894CD-6B27-49DF-BB34-1016B522F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he-IL"/>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5D24"/>
    <w:rPr>
      <w:rFonts w:eastAsia="Calibri" w:cs="Poppins"/>
      <w:sz w:val="20"/>
      <w:szCs w:val="20"/>
      <w:lang w:val="en-GB"/>
    </w:rPr>
  </w:style>
  <w:style w:type="paragraph" w:styleId="Ttulo1">
    <w:name w:val="heading 1"/>
    <w:basedOn w:val="Ttulo2"/>
    <w:next w:val="Normal"/>
    <w:link w:val="Ttulo1Car"/>
    <w:uiPriority w:val="9"/>
    <w:qFormat/>
    <w:rsid w:val="006F5D24"/>
    <w:pPr>
      <w:spacing w:before="0" w:after="0"/>
      <w:jc w:val="center"/>
      <w:outlineLvl w:val="0"/>
    </w:pPr>
    <w:rPr>
      <w:rFonts w:asciiTheme="majorHAnsi" w:hAnsiTheme="majorHAnsi"/>
      <w:b/>
      <w:caps/>
      <w:color w:val="009933"/>
      <w:sz w:val="36"/>
      <w:szCs w:val="28"/>
      <w:lang w:val="pt-PT"/>
    </w:rPr>
  </w:style>
  <w:style w:type="paragraph" w:styleId="Ttulo2">
    <w:name w:val="heading 2"/>
    <w:basedOn w:val="Normal"/>
    <w:next w:val="Normal"/>
    <w:link w:val="Ttulo2Car"/>
    <w:uiPriority w:val="9"/>
    <w:unhideWhenUsed/>
    <w:qFormat/>
    <w:rsid w:val="00310C66"/>
    <w:pPr>
      <w:keepNext/>
      <w:keepLines/>
      <w:spacing w:before="40" w:after="120"/>
      <w:outlineLvl w:val="1"/>
    </w:pPr>
    <w:rPr>
      <w:rFonts w:ascii="Poppins Medium" w:eastAsiaTheme="majorEastAsia" w:hAnsi="Poppins Medium" w:cs="Poppins Medium"/>
      <w:color w:val="FF9900"/>
      <w:sz w:val="32"/>
      <w:szCs w:val="32"/>
    </w:rPr>
  </w:style>
  <w:style w:type="paragraph" w:styleId="Ttulo3">
    <w:name w:val="heading 3"/>
    <w:basedOn w:val="Normal"/>
    <w:next w:val="Normal"/>
    <w:link w:val="Ttulo3Car"/>
    <w:uiPriority w:val="9"/>
    <w:unhideWhenUsed/>
    <w:qFormat/>
    <w:rsid w:val="00C84843"/>
    <w:pPr>
      <w:keepNext/>
      <w:keepLines/>
      <w:spacing w:before="40"/>
      <w:outlineLvl w:val="2"/>
    </w:pPr>
    <w:rPr>
      <w:rFonts w:ascii="Poppins Medium" w:eastAsiaTheme="majorEastAsia" w:hAnsi="Poppins Medium" w:cstheme="majorBidi"/>
      <w:color w:val="009933" w:themeColor="accent2"/>
      <w:sz w:val="24"/>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C1B03"/>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8C1B03"/>
  </w:style>
  <w:style w:type="paragraph" w:styleId="Piedepgina">
    <w:name w:val="footer"/>
    <w:basedOn w:val="Normal"/>
    <w:link w:val="PiedepginaCar"/>
    <w:uiPriority w:val="99"/>
    <w:unhideWhenUsed/>
    <w:rsid w:val="008C1B03"/>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8C1B03"/>
  </w:style>
  <w:style w:type="character" w:customStyle="1" w:styleId="Ttulo1Car">
    <w:name w:val="Título 1 Car"/>
    <w:basedOn w:val="Fuentedeprrafopredeter"/>
    <w:link w:val="Ttulo1"/>
    <w:uiPriority w:val="9"/>
    <w:rsid w:val="006F5D24"/>
    <w:rPr>
      <w:rFonts w:asciiTheme="majorHAnsi" w:eastAsiaTheme="majorEastAsia" w:hAnsiTheme="majorHAnsi" w:cs="Poppins Medium"/>
      <w:b/>
      <w:caps/>
      <w:color w:val="009933"/>
      <w:sz w:val="36"/>
      <w:szCs w:val="28"/>
      <w:lang w:val="pt-PT"/>
    </w:rPr>
  </w:style>
  <w:style w:type="paragraph" w:customStyle="1" w:styleId="SMURF">
    <w:name w:val="SMURF"/>
    <w:basedOn w:val="Normal"/>
    <w:link w:val="SMURFCar"/>
    <w:rsid w:val="00CD3967"/>
    <w:rPr>
      <w:color w:val="FF9900"/>
    </w:rPr>
  </w:style>
  <w:style w:type="character" w:customStyle="1" w:styleId="SMURFCar">
    <w:name w:val="SMURF Car"/>
    <w:basedOn w:val="Fuentedeprrafopredeter"/>
    <w:link w:val="SMURF"/>
    <w:rsid w:val="00CD3967"/>
    <w:rPr>
      <w:color w:val="FF9900"/>
    </w:rPr>
  </w:style>
  <w:style w:type="paragraph" w:styleId="Ttulo">
    <w:name w:val="Title"/>
    <w:basedOn w:val="Normal"/>
    <w:next w:val="Normal"/>
    <w:link w:val="TtuloCar"/>
    <w:uiPriority w:val="10"/>
    <w:rsid w:val="00CD3967"/>
    <w:pPr>
      <w:spacing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D3967"/>
    <w:rPr>
      <w:rFonts w:asciiTheme="majorHAnsi" w:eastAsiaTheme="majorEastAsia" w:hAnsiTheme="majorHAnsi" w:cstheme="majorBidi"/>
      <w:spacing w:val="-10"/>
      <w:kern w:val="28"/>
      <w:sz w:val="56"/>
      <w:szCs w:val="56"/>
    </w:rPr>
  </w:style>
  <w:style w:type="character" w:customStyle="1" w:styleId="Ttulo2Car">
    <w:name w:val="Título 2 Car"/>
    <w:basedOn w:val="Fuentedeprrafopredeter"/>
    <w:link w:val="Ttulo2"/>
    <w:uiPriority w:val="9"/>
    <w:rsid w:val="00310C66"/>
    <w:rPr>
      <w:rFonts w:ascii="Poppins Medium" w:eastAsiaTheme="majorEastAsia" w:hAnsi="Poppins Medium" w:cs="Poppins Medium"/>
      <w:color w:val="FF9900"/>
      <w:sz w:val="32"/>
      <w:szCs w:val="32"/>
      <w:lang w:val="en-GB"/>
    </w:rPr>
  </w:style>
  <w:style w:type="character" w:customStyle="1" w:styleId="Ttulo3Car">
    <w:name w:val="Título 3 Car"/>
    <w:basedOn w:val="Fuentedeprrafopredeter"/>
    <w:link w:val="Ttulo3"/>
    <w:uiPriority w:val="9"/>
    <w:rsid w:val="00C84843"/>
    <w:rPr>
      <w:rFonts w:ascii="Poppins Medium" w:eastAsiaTheme="majorEastAsia" w:hAnsi="Poppins Medium" w:cstheme="majorBidi"/>
      <w:color w:val="009933" w:themeColor="accent2"/>
      <w:sz w:val="24"/>
      <w:szCs w:val="24"/>
      <w:lang w:val="en-GB"/>
    </w:rPr>
  </w:style>
  <w:style w:type="paragraph" w:styleId="Sinespaciado">
    <w:name w:val="No Spacing"/>
    <w:uiPriority w:val="1"/>
    <w:qFormat/>
    <w:rsid w:val="007A1F35"/>
    <w:pPr>
      <w:spacing w:after="0" w:line="240" w:lineRule="auto"/>
    </w:pPr>
    <w:rPr>
      <w:rFonts w:ascii="Mulish" w:hAnsi="Mulish"/>
    </w:rPr>
  </w:style>
  <w:style w:type="table" w:styleId="Tablaconcuadrcula5oscura-nfasis6">
    <w:name w:val="Grid Table 5 Dark Accent 6"/>
    <w:basedOn w:val="Tablanormal"/>
    <w:uiPriority w:val="50"/>
    <w:rsid w:val="001C5AB8"/>
    <w:pPr>
      <w:spacing w:after="0" w:line="240" w:lineRule="auto"/>
    </w:pPr>
    <w:rPr>
      <w:kern w:val="0"/>
      <w:lang w:bidi="ar-SA"/>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FFF"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FFFF"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FFFF"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FFFF"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FFFF" w:themeFill="accent6"/>
      </w:tcPr>
    </w:tblStylePr>
    <w:tblStylePr w:type="band1Vert">
      <w:tblPr/>
      <w:tcPr>
        <w:shd w:val="clear" w:color="auto" w:fill="FFFFFF" w:themeFill="accent6" w:themeFillTint="66"/>
      </w:tcPr>
    </w:tblStylePr>
    <w:tblStylePr w:type="band1Horz">
      <w:tblPr/>
      <w:tcPr>
        <w:shd w:val="clear" w:color="auto" w:fill="FFFFFF" w:themeFill="accent6" w:themeFillTint="66"/>
      </w:tcPr>
    </w:tblStylePr>
  </w:style>
  <w:style w:type="table" w:styleId="Tablaconcuadrcula1Claro-nfasis2">
    <w:name w:val="Grid Table 1 Light Accent 2"/>
    <w:basedOn w:val="Tablanormal"/>
    <w:uiPriority w:val="46"/>
    <w:rsid w:val="001C5AB8"/>
    <w:pPr>
      <w:spacing w:after="0" w:line="240" w:lineRule="auto"/>
    </w:pPr>
    <w:tblPr>
      <w:tblStyleRowBandSize w:val="1"/>
      <w:tblStyleColBandSize w:val="1"/>
      <w:tblBorders>
        <w:top w:val="single" w:sz="4" w:space="0" w:color="70FF9F" w:themeColor="accent2" w:themeTint="66"/>
        <w:left w:val="single" w:sz="4" w:space="0" w:color="70FF9F" w:themeColor="accent2" w:themeTint="66"/>
        <w:bottom w:val="single" w:sz="4" w:space="0" w:color="70FF9F" w:themeColor="accent2" w:themeTint="66"/>
        <w:right w:val="single" w:sz="4" w:space="0" w:color="70FF9F" w:themeColor="accent2" w:themeTint="66"/>
        <w:insideH w:val="single" w:sz="4" w:space="0" w:color="70FF9F" w:themeColor="accent2" w:themeTint="66"/>
        <w:insideV w:val="single" w:sz="4" w:space="0" w:color="70FF9F" w:themeColor="accent2" w:themeTint="66"/>
      </w:tblBorders>
    </w:tblPr>
    <w:tblStylePr w:type="firstRow">
      <w:rPr>
        <w:b/>
        <w:bCs/>
      </w:rPr>
      <w:tblPr/>
      <w:tcPr>
        <w:tcBorders>
          <w:bottom w:val="single" w:sz="12" w:space="0" w:color="28FF70" w:themeColor="accent2" w:themeTint="99"/>
        </w:tcBorders>
      </w:tcPr>
    </w:tblStylePr>
    <w:tblStylePr w:type="lastRow">
      <w:rPr>
        <w:b/>
        <w:bCs/>
      </w:rPr>
      <w:tblPr/>
      <w:tcPr>
        <w:tcBorders>
          <w:top w:val="double" w:sz="2" w:space="0" w:color="28FF70" w:themeColor="accent2" w:themeTint="99"/>
        </w:tcBorders>
      </w:tcPr>
    </w:tblStylePr>
    <w:tblStylePr w:type="firstCol">
      <w:rPr>
        <w:b/>
        <w:bCs/>
      </w:rPr>
    </w:tblStylePr>
    <w:tblStylePr w:type="lastCol">
      <w:rPr>
        <w:b/>
        <w:bCs/>
      </w:rPr>
    </w:tblStylePr>
  </w:style>
  <w:style w:type="table" w:styleId="Tablaconcuadrcula4-nfasis2">
    <w:name w:val="Grid Table 4 Accent 2"/>
    <w:basedOn w:val="Tablanormal"/>
    <w:uiPriority w:val="49"/>
    <w:rsid w:val="001C5AB8"/>
    <w:pPr>
      <w:spacing w:after="0" w:line="240" w:lineRule="auto"/>
    </w:pPr>
    <w:tblPr>
      <w:tblStyleRowBandSize w:val="1"/>
      <w:tblStyleColBandSize w:val="1"/>
      <w:tblBorders>
        <w:top w:val="single" w:sz="4" w:space="0" w:color="28FF70" w:themeColor="accent2" w:themeTint="99"/>
        <w:left w:val="single" w:sz="4" w:space="0" w:color="28FF70" w:themeColor="accent2" w:themeTint="99"/>
        <w:bottom w:val="single" w:sz="4" w:space="0" w:color="28FF70" w:themeColor="accent2" w:themeTint="99"/>
        <w:right w:val="single" w:sz="4" w:space="0" w:color="28FF70" w:themeColor="accent2" w:themeTint="99"/>
        <w:insideH w:val="single" w:sz="4" w:space="0" w:color="28FF70" w:themeColor="accent2" w:themeTint="99"/>
        <w:insideV w:val="single" w:sz="4" w:space="0" w:color="28FF70" w:themeColor="accent2" w:themeTint="99"/>
      </w:tblBorders>
    </w:tblPr>
    <w:tblStylePr w:type="firstRow">
      <w:rPr>
        <w:b/>
        <w:bCs/>
        <w:color w:val="FFFFFF" w:themeColor="background1"/>
      </w:rPr>
      <w:tblPr/>
      <w:tcPr>
        <w:tcBorders>
          <w:top w:val="single" w:sz="4" w:space="0" w:color="009933" w:themeColor="accent2"/>
          <w:left w:val="single" w:sz="4" w:space="0" w:color="009933" w:themeColor="accent2"/>
          <w:bottom w:val="single" w:sz="4" w:space="0" w:color="009933" w:themeColor="accent2"/>
          <w:right w:val="single" w:sz="4" w:space="0" w:color="009933" w:themeColor="accent2"/>
          <w:insideH w:val="nil"/>
          <w:insideV w:val="nil"/>
        </w:tcBorders>
        <w:shd w:val="clear" w:color="auto" w:fill="009933" w:themeFill="accent2"/>
      </w:tcPr>
    </w:tblStylePr>
    <w:tblStylePr w:type="lastRow">
      <w:rPr>
        <w:b/>
        <w:bCs/>
      </w:rPr>
      <w:tblPr/>
      <w:tcPr>
        <w:tcBorders>
          <w:top w:val="double" w:sz="4" w:space="0" w:color="009933" w:themeColor="accent2"/>
        </w:tcBorders>
      </w:tcPr>
    </w:tblStylePr>
    <w:tblStylePr w:type="firstCol">
      <w:rPr>
        <w:b/>
        <w:bCs/>
      </w:rPr>
    </w:tblStylePr>
    <w:tblStylePr w:type="lastCol">
      <w:rPr>
        <w:b/>
        <w:bCs/>
      </w:rPr>
    </w:tblStylePr>
    <w:tblStylePr w:type="band1Vert">
      <w:tblPr/>
      <w:tcPr>
        <w:shd w:val="clear" w:color="auto" w:fill="B7FFCF" w:themeFill="accent2" w:themeFillTint="33"/>
      </w:tcPr>
    </w:tblStylePr>
    <w:tblStylePr w:type="band1Horz">
      <w:tblPr/>
      <w:tcPr>
        <w:shd w:val="clear" w:color="auto" w:fill="B7FFCF" w:themeFill="accent2" w:themeFillTint="33"/>
      </w:tcPr>
    </w:tblStylePr>
  </w:style>
  <w:style w:type="table" w:styleId="Tablaconcuadrcula6concolores-nfasis1">
    <w:name w:val="Grid Table 6 Colorful Accent 1"/>
    <w:basedOn w:val="Tablanormal"/>
    <w:uiPriority w:val="51"/>
    <w:rsid w:val="001C5AB8"/>
    <w:pPr>
      <w:spacing w:after="0" w:line="240" w:lineRule="auto"/>
    </w:pPr>
    <w:rPr>
      <w:color w:val="BF7200" w:themeColor="accent1" w:themeShade="BF"/>
    </w:rPr>
    <w:tblPr>
      <w:tblStyleRowBandSize w:val="1"/>
      <w:tblStyleColBandSize w:val="1"/>
      <w:tblBorders>
        <w:top w:val="single" w:sz="4" w:space="0" w:color="FFC166" w:themeColor="accent1" w:themeTint="99"/>
        <w:left w:val="single" w:sz="4" w:space="0" w:color="FFC166" w:themeColor="accent1" w:themeTint="99"/>
        <w:bottom w:val="single" w:sz="4" w:space="0" w:color="FFC166" w:themeColor="accent1" w:themeTint="99"/>
        <w:right w:val="single" w:sz="4" w:space="0" w:color="FFC166" w:themeColor="accent1" w:themeTint="99"/>
        <w:insideH w:val="single" w:sz="4" w:space="0" w:color="FFC166" w:themeColor="accent1" w:themeTint="99"/>
        <w:insideV w:val="single" w:sz="4" w:space="0" w:color="FFC166" w:themeColor="accent1" w:themeTint="99"/>
      </w:tblBorders>
    </w:tblPr>
    <w:tblStylePr w:type="firstRow">
      <w:rPr>
        <w:b/>
        <w:bCs/>
      </w:rPr>
      <w:tblPr/>
      <w:tcPr>
        <w:tcBorders>
          <w:bottom w:val="single" w:sz="12" w:space="0" w:color="FFC166" w:themeColor="accent1" w:themeTint="99"/>
        </w:tcBorders>
      </w:tcPr>
    </w:tblStylePr>
    <w:tblStylePr w:type="lastRow">
      <w:rPr>
        <w:b/>
        <w:bCs/>
      </w:rPr>
      <w:tblPr/>
      <w:tcPr>
        <w:tcBorders>
          <w:top w:val="double" w:sz="4" w:space="0" w:color="FFC166" w:themeColor="accent1" w:themeTint="99"/>
        </w:tcBorders>
      </w:tcPr>
    </w:tblStylePr>
    <w:tblStylePr w:type="firstCol">
      <w:rPr>
        <w:b/>
        <w:bCs/>
      </w:rPr>
    </w:tblStylePr>
    <w:tblStylePr w:type="lastCol">
      <w:rPr>
        <w:b/>
        <w:bCs/>
      </w:rPr>
    </w:tblStylePr>
    <w:tblStylePr w:type="band1Vert">
      <w:tblPr/>
      <w:tcPr>
        <w:shd w:val="clear" w:color="auto" w:fill="FFEACC" w:themeFill="accent1" w:themeFillTint="33"/>
      </w:tcPr>
    </w:tblStylePr>
    <w:tblStylePr w:type="band1Horz">
      <w:tblPr/>
      <w:tcPr>
        <w:shd w:val="clear" w:color="auto" w:fill="FFEACC" w:themeFill="accent1" w:themeFillTint="33"/>
      </w:tcPr>
    </w:tblStylePr>
  </w:style>
  <w:style w:type="table" w:styleId="Tablaconcuadrcula4-nfasis1">
    <w:name w:val="Grid Table 4 Accent 1"/>
    <w:basedOn w:val="Tablanormal"/>
    <w:uiPriority w:val="49"/>
    <w:rsid w:val="002B0E7D"/>
    <w:pPr>
      <w:spacing w:after="0" w:line="240" w:lineRule="auto"/>
    </w:pPr>
    <w:tblPr>
      <w:tblStyleRowBandSize w:val="1"/>
      <w:tblStyleColBandSize w:val="1"/>
      <w:tblBorders>
        <w:top w:val="single" w:sz="4" w:space="0" w:color="FFC166" w:themeColor="accent1" w:themeTint="99"/>
        <w:left w:val="single" w:sz="4" w:space="0" w:color="FFC166" w:themeColor="accent1" w:themeTint="99"/>
        <w:bottom w:val="single" w:sz="4" w:space="0" w:color="FFC166" w:themeColor="accent1" w:themeTint="99"/>
        <w:right w:val="single" w:sz="4" w:space="0" w:color="FFC166" w:themeColor="accent1" w:themeTint="99"/>
        <w:insideH w:val="single" w:sz="4" w:space="0" w:color="FFC166" w:themeColor="accent1" w:themeTint="99"/>
        <w:insideV w:val="single" w:sz="4" w:space="0" w:color="FFC166" w:themeColor="accent1" w:themeTint="99"/>
      </w:tblBorders>
    </w:tblPr>
    <w:tblStylePr w:type="firstRow">
      <w:rPr>
        <w:b/>
        <w:bCs/>
        <w:color w:val="FFFFFF" w:themeColor="background1"/>
      </w:rPr>
      <w:tblPr/>
      <w:tcPr>
        <w:tcBorders>
          <w:top w:val="single" w:sz="4" w:space="0" w:color="FF9900" w:themeColor="accent1"/>
          <w:left w:val="single" w:sz="4" w:space="0" w:color="FF9900" w:themeColor="accent1"/>
          <w:bottom w:val="single" w:sz="4" w:space="0" w:color="FF9900" w:themeColor="accent1"/>
          <w:right w:val="single" w:sz="4" w:space="0" w:color="FF9900" w:themeColor="accent1"/>
          <w:insideH w:val="nil"/>
          <w:insideV w:val="nil"/>
        </w:tcBorders>
        <w:shd w:val="clear" w:color="auto" w:fill="FF9900" w:themeFill="accent1"/>
      </w:tcPr>
    </w:tblStylePr>
    <w:tblStylePr w:type="lastRow">
      <w:rPr>
        <w:b/>
        <w:bCs/>
      </w:rPr>
      <w:tblPr/>
      <w:tcPr>
        <w:tcBorders>
          <w:top w:val="double" w:sz="4" w:space="0" w:color="FF9900" w:themeColor="accent1"/>
        </w:tcBorders>
      </w:tcPr>
    </w:tblStylePr>
    <w:tblStylePr w:type="firstCol">
      <w:rPr>
        <w:b/>
        <w:bCs/>
      </w:rPr>
    </w:tblStylePr>
    <w:tblStylePr w:type="lastCol">
      <w:rPr>
        <w:b/>
        <w:bCs/>
      </w:rPr>
    </w:tblStylePr>
    <w:tblStylePr w:type="band1Vert">
      <w:tblPr/>
      <w:tcPr>
        <w:shd w:val="clear" w:color="auto" w:fill="FFEACC" w:themeFill="accent1" w:themeFillTint="33"/>
      </w:tcPr>
    </w:tblStylePr>
    <w:tblStylePr w:type="band1Horz">
      <w:tblPr/>
      <w:tcPr>
        <w:shd w:val="clear" w:color="auto" w:fill="FFEACC" w:themeFill="accent1" w:themeFillTint="33"/>
      </w:tcPr>
    </w:tblStylePr>
  </w:style>
  <w:style w:type="table" w:styleId="Tablaconcuadrcula">
    <w:name w:val="Table Grid"/>
    <w:basedOn w:val="Tablanormal"/>
    <w:uiPriority w:val="39"/>
    <w:rsid w:val="002B0E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delista6concolores-nfasis1">
    <w:name w:val="List Table 6 Colorful Accent 1"/>
    <w:basedOn w:val="Tablanormal"/>
    <w:uiPriority w:val="51"/>
    <w:rsid w:val="002523A3"/>
    <w:pPr>
      <w:spacing w:after="0" w:line="240" w:lineRule="auto"/>
    </w:pPr>
    <w:rPr>
      <w:color w:val="BF7200" w:themeColor="accent1" w:themeShade="BF"/>
    </w:rPr>
    <w:tblPr>
      <w:tblStyleRowBandSize w:val="1"/>
      <w:tblStyleColBandSize w:val="1"/>
      <w:tblBorders>
        <w:top w:val="single" w:sz="4" w:space="0" w:color="FF9900" w:themeColor="accent1"/>
        <w:bottom w:val="single" w:sz="4" w:space="0" w:color="FF9900" w:themeColor="accent1"/>
      </w:tblBorders>
    </w:tblPr>
    <w:tblStylePr w:type="firstRow">
      <w:rPr>
        <w:b/>
        <w:bCs/>
      </w:rPr>
      <w:tblPr/>
      <w:tcPr>
        <w:tcBorders>
          <w:bottom w:val="single" w:sz="4" w:space="0" w:color="FF9900" w:themeColor="accent1"/>
        </w:tcBorders>
      </w:tcPr>
    </w:tblStylePr>
    <w:tblStylePr w:type="lastRow">
      <w:rPr>
        <w:b/>
        <w:bCs/>
      </w:rPr>
      <w:tblPr/>
      <w:tcPr>
        <w:tcBorders>
          <w:top w:val="double" w:sz="4" w:space="0" w:color="FF9900" w:themeColor="accent1"/>
        </w:tcBorders>
      </w:tcPr>
    </w:tblStylePr>
    <w:tblStylePr w:type="firstCol">
      <w:rPr>
        <w:b/>
        <w:bCs/>
      </w:rPr>
    </w:tblStylePr>
    <w:tblStylePr w:type="lastCol">
      <w:rPr>
        <w:b/>
        <w:bCs/>
      </w:rPr>
    </w:tblStylePr>
    <w:tblStylePr w:type="band1Vert">
      <w:tblPr/>
      <w:tcPr>
        <w:shd w:val="clear" w:color="auto" w:fill="FFEACC" w:themeFill="accent1" w:themeFillTint="33"/>
      </w:tcPr>
    </w:tblStylePr>
    <w:tblStylePr w:type="band1Horz">
      <w:tblPr/>
      <w:tcPr>
        <w:shd w:val="clear" w:color="auto" w:fill="FFEACC" w:themeFill="accent1" w:themeFillTint="33"/>
      </w:tcPr>
    </w:tblStylePr>
  </w:style>
  <w:style w:type="table" w:styleId="Tablaconcuadrcula1clara-nfasis4">
    <w:name w:val="Grid Table 1 Light Accent 4"/>
    <w:basedOn w:val="Tablanormal"/>
    <w:uiPriority w:val="46"/>
    <w:rsid w:val="002523A3"/>
    <w:pPr>
      <w:spacing w:after="0" w:line="240" w:lineRule="auto"/>
    </w:pPr>
    <w:tblPr>
      <w:tblStyleRowBandSize w:val="1"/>
      <w:tblStyleColBandSize w:val="1"/>
      <w:tblBorders>
        <w:top w:val="single" w:sz="4" w:space="0" w:color="BCBCBC" w:themeColor="accent4" w:themeTint="66"/>
        <w:left w:val="single" w:sz="4" w:space="0" w:color="BCBCBC" w:themeColor="accent4" w:themeTint="66"/>
        <w:bottom w:val="single" w:sz="4" w:space="0" w:color="BCBCBC" w:themeColor="accent4" w:themeTint="66"/>
        <w:right w:val="single" w:sz="4" w:space="0" w:color="BCBCBC" w:themeColor="accent4" w:themeTint="66"/>
        <w:insideH w:val="single" w:sz="4" w:space="0" w:color="BCBCBC" w:themeColor="accent4" w:themeTint="66"/>
        <w:insideV w:val="single" w:sz="4" w:space="0" w:color="BCBCBC" w:themeColor="accent4" w:themeTint="66"/>
      </w:tblBorders>
    </w:tblPr>
    <w:tblStylePr w:type="firstRow">
      <w:rPr>
        <w:b/>
        <w:bCs/>
      </w:rPr>
      <w:tblPr/>
      <w:tcPr>
        <w:tcBorders>
          <w:bottom w:val="single" w:sz="12" w:space="0" w:color="9B9B9B" w:themeColor="accent4" w:themeTint="99"/>
        </w:tcBorders>
      </w:tcPr>
    </w:tblStylePr>
    <w:tblStylePr w:type="lastRow">
      <w:rPr>
        <w:b/>
        <w:bCs/>
      </w:rPr>
      <w:tblPr/>
      <w:tcPr>
        <w:tcBorders>
          <w:top w:val="double" w:sz="2" w:space="0" w:color="9B9B9B" w:themeColor="accent4" w:themeTint="99"/>
        </w:tcBorders>
      </w:tcPr>
    </w:tblStylePr>
    <w:tblStylePr w:type="firstCol">
      <w:rPr>
        <w:b/>
        <w:bCs/>
      </w:rPr>
    </w:tblStylePr>
    <w:tblStylePr w:type="lastCol">
      <w:rPr>
        <w:b/>
        <w:bCs/>
      </w:rPr>
    </w:tblStylePr>
  </w:style>
  <w:style w:type="table" w:styleId="Tablaconcuadrcula2-nfasis1">
    <w:name w:val="Grid Table 2 Accent 1"/>
    <w:basedOn w:val="Tablanormal"/>
    <w:uiPriority w:val="47"/>
    <w:rsid w:val="002523A3"/>
    <w:pPr>
      <w:spacing w:after="0" w:line="240" w:lineRule="auto"/>
    </w:pPr>
    <w:tblPr>
      <w:tblStyleRowBandSize w:val="1"/>
      <w:tblStyleColBandSize w:val="1"/>
      <w:tblBorders>
        <w:top w:val="single" w:sz="2" w:space="0" w:color="FFC166" w:themeColor="accent1" w:themeTint="99"/>
        <w:bottom w:val="single" w:sz="2" w:space="0" w:color="FFC166" w:themeColor="accent1" w:themeTint="99"/>
        <w:insideH w:val="single" w:sz="2" w:space="0" w:color="FFC166" w:themeColor="accent1" w:themeTint="99"/>
        <w:insideV w:val="single" w:sz="2" w:space="0" w:color="FFC166" w:themeColor="accent1" w:themeTint="99"/>
      </w:tblBorders>
    </w:tblPr>
    <w:tblStylePr w:type="firstRow">
      <w:rPr>
        <w:b/>
        <w:bCs/>
      </w:rPr>
      <w:tblPr/>
      <w:tcPr>
        <w:tcBorders>
          <w:top w:val="nil"/>
          <w:bottom w:val="single" w:sz="12" w:space="0" w:color="FFC166" w:themeColor="accent1" w:themeTint="99"/>
          <w:insideH w:val="nil"/>
          <w:insideV w:val="nil"/>
        </w:tcBorders>
        <w:shd w:val="clear" w:color="auto" w:fill="FFFFFF" w:themeFill="background1"/>
      </w:tcPr>
    </w:tblStylePr>
    <w:tblStylePr w:type="lastRow">
      <w:rPr>
        <w:b/>
        <w:bCs/>
      </w:rPr>
      <w:tblPr/>
      <w:tcPr>
        <w:tcBorders>
          <w:top w:val="double" w:sz="2" w:space="0" w:color="FFC166"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EACC" w:themeFill="accent1" w:themeFillTint="33"/>
      </w:tcPr>
    </w:tblStylePr>
    <w:tblStylePr w:type="band1Horz">
      <w:tblPr/>
      <w:tcPr>
        <w:shd w:val="clear" w:color="auto" w:fill="FFEACC" w:themeFill="accent1" w:themeFillTint="33"/>
      </w:tcPr>
    </w:tblStylePr>
  </w:style>
  <w:style w:type="table" w:styleId="Tablaconcuadrcula6concolores-nfasis2">
    <w:name w:val="Grid Table 6 Colorful Accent 2"/>
    <w:basedOn w:val="Tablanormal"/>
    <w:uiPriority w:val="51"/>
    <w:rsid w:val="002523A3"/>
    <w:pPr>
      <w:spacing w:after="0" w:line="240" w:lineRule="auto"/>
    </w:pPr>
    <w:rPr>
      <w:color w:val="007226" w:themeColor="accent2" w:themeShade="BF"/>
    </w:rPr>
    <w:tblPr>
      <w:tblStyleRowBandSize w:val="1"/>
      <w:tblStyleColBandSize w:val="1"/>
      <w:tblBorders>
        <w:top w:val="single" w:sz="4" w:space="0" w:color="28FF70" w:themeColor="accent2" w:themeTint="99"/>
        <w:left w:val="single" w:sz="4" w:space="0" w:color="28FF70" w:themeColor="accent2" w:themeTint="99"/>
        <w:bottom w:val="single" w:sz="4" w:space="0" w:color="28FF70" w:themeColor="accent2" w:themeTint="99"/>
        <w:right w:val="single" w:sz="4" w:space="0" w:color="28FF70" w:themeColor="accent2" w:themeTint="99"/>
        <w:insideH w:val="single" w:sz="4" w:space="0" w:color="28FF70" w:themeColor="accent2" w:themeTint="99"/>
        <w:insideV w:val="single" w:sz="4" w:space="0" w:color="28FF70" w:themeColor="accent2" w:themeTint="99"/>
      </w:tblBorders>
    </w:tblPr>
    <w:tblStylePr w:type="firstRow">
      <w:rPr>
        <w:b/>
        <w:bCs/>
      </w:rPr>
      <w:tblPr/>
      <w:tcPr>
        <w:tcBorders>
          <w:bottom w:val="single" w:sz="12" w:space="0" w:color="28FF70" w:themeColor="accent2" w:themeTint="99"/>
        </w:tcBorders>
      </w:tcPr>
    </w:tblStylePr>
    <w:tblStylePr w:type="lastRow">
      <w:rPr>
        <w:b/>
        <w:bCs/>
      </w:rPr>
      <w:tblPr/>
      <w:tcPr>
        <w:tcBorders>
          <w:top w:val="double" w:sz="4" w:space="0" w:color="28FF70" w:themeColor="accent2" w:themeTint="99"/>
        </w:tcBorders>
      </w:tcPr>
    </w:tblStylePr>
    <w:tblStylePr w:type="firstCol">
      <w:rPr>
        <w:b/>
        <w:bCs/>
      </w:rPr>
    </w:tblStylePr>
    <w:tblStylePr w:type="lastCol">
      <w:rPr>
        <w:b/>
        <w:bCs/>
      </w:rPr>
    </w:tblStylePr>
    <w:tblStylePr w:type="band1Vert">
      <w:tblPr/>
      <w:tcPr>
        <w:shd w:val="clear" w:color="auto" w:fill="B7FFCF" w:themeFill="accent2" w:themeFillTint="33"/>
      </w:tcPr>
    </w:tblStylePr>
    <w:tblStylePr w:type="band1Horz">
      <w:tblPr/>
      <w:tcPr>
        <w:shd w:val="clear" w:color="auto" w:fill="B7FFCF" w:themeFill="accent2" w:themeFillTint="33"/>
      </w:tcPr>
    </w:tblStylePr>
  </w:style>
  <w:style w:type="table" w:styleId="Tablaconcuadrcula6concolores-nfasis3">
    <w:name w:val="Grid Table 6 Colorful Accent 3"/>
    <w:basedOn w:val="Tablanormal"/>
    <w:uiPriority w:val="51"/>
    <w:rsid w:val="002523A3"/>
    <w:pPr>
      <w:spacing w:after="0" w:line="240" w:lineRule="auto"/>
    </w:pPr>
    <w:rPr>
      <w:color w:val="009526" w:themeColor="accent3" w:themeShade="BF"/>
    </w:rPr>
    <w:tblPr>
      <w:tblStyleRowBandSize w:val="1"/>
      <w:tblStyleColBandSize w:val="1"/>
      <w:tblBorders>
        <w:top w:val="single" w:sz="4" w:space="0" w:color="45FF74" w:themeColor="accent3" w:themeTint="99"/>
        <w:left w:val="single" w:sz="4" w:space="0" w:color="45FF74" w:themeColor="accent3" w:themeTint="99"/>
        <w:bottom w:val="single" w:sz="4" w:space="0" w:color="45FF74" w:themeColor="accent3" w:themeTint="99"/>
        <w:right w:val="single" w:sz="4" w:space="0" w:color="45FF74" w:themeColor="accent3" w:themeTint="99"/>
        <w:insideH w:val="single" w:sz="4" w:space="0" w:color="45FF74" w:themeColor="accent3" w:themeTint="99"/>
        <w:insideV w:val="single" w:sz="4" w:space="0" w:color="45FF74" w:themeColor="accent3" w:themeTint="99"/>
      </w:tblBorders>
    </w:tblPr>
    <w:tblStylePr w:type="firstRow">
      <w:rPr>
        <w:b/>
        <w:bCs/>
      </w:rPr>
      <w:tblPr/>
      <w:tcPr>
        <w:tcBorders>
          <w:bottom w:val="single" w:sz="12" w:space="0" w:color="45FF74" w:themeColor="accent3" w:themeTint="99"/>
        </w:tcBorders>
      </w:tcPr>
    </w:tblStylePr>
    <w:tblStylePr w:type="lastRow">
      <w:rPr>
        <w:b/>
        <w:bCs/>
      </w:rPr>
      <w:tblPr/>
      <w:tcPr>
        <w:tcBorders>
          <w:top w:val="double" w:sz="4" w:space="0" w:color="45FF74" w:themeColor="accent3" w:themeTint="99"/>
        </w:tcBorders>
      </w:tcPr>
    </w:tblStylePr>
    <w:tblStylePr w:type="firstCol">
      <w:rPr>
        <w:b/>
        <w:bCs/>
      </w:rPr>
    </w:tblStylePr>
    <w:tblStylePr w:type="lastCol">
      <w:rPr>
        <w:b/>
        <w:bCs/>
      </w:rPr>
    </w:tblStylePr>
    <w:tblStylePr w:type="band1Vert">
      <w:tblPr/>
      <w:tcPr>
        <w:shd w:val="clear" w:color="auto" w:fill="C1FFD0" w:themeFill="accent3" w:themeFillTint="33"/>
      </w:tcPr>
    </w:tblStylePr>
    <w:tblStylePr w:type="band1Horz">
      <w:tblPr/>
      <w:tcPr>
        <w:shd w:val="clear" w:color="auto" w:fill="C1FFD0" w:themeFill="accent3" w:themeFillTint="33"/>
      </w:tcPr>
    </w:tblStylePr>
  </w:style>
  <w:style w:type="table" w:styleId="Tablaconcuadrcula6concolores">
    <w:name w:val="Grid Table 6 Colorful"/>
    <w:basedOn w:val="Tablanormal"/>
    <w:uiPriority w:val="51"/>
    <w:rsid w:val="002523A3"/>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normal1">
    <w:name w:val="Plain Table 1"/>
    <w:basedOn w:val="Tablanormal"/>
    <w:uiPriority w:val="41"/>
    <w:rsid w:val="002523A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4-nfasis6">
    <w:name w:val="Grid Table 4 Accent 6"/>
    <w:basedOn w:val="Tablanormal"/>
    <w:uiPriority w:val="49"/>
    <w:rsid w:val="002523A3"/>
    <w:pPr>
      <w:spacing w:after="0" w:line="240" w:lineRule="auto"/>
    </w:pPr>
    <w:rPr>
      <w:kern w:val="0"/>
      <w:lang w:bidi="ar-SA"/>
      <w14:ligatures w14:val="none"/>
    </w:rPr>
    <w:tblPr>
      <w:tblStyleRowBandSize w:val="1"/>
      <w:tblStyleColBandSize w:val="1"/>
      <w:tblBorders>
        <w:top w:val="single" w:sz="4" w:space="0" w:color="FFFFFF" w:themeColor="accent6" w:themeTint="99"/>
        <w:left w:val="single" w:sz="4" w:space="0" w:color="FFFFFF" w:themeColor="accent6" w:themeTint="99"/>
        <w:bottom w:val="single" w:sz="4" w:space="0" w:color="FFFFFF" w:themeColor="accent6" w:themeTint="99"/>
        <w:right w:val="single" w:sz="4" w:space="0" w:color="FFFFFF" w:themeColor="accent6" w:themeTint="99"/>
        <w:insideH w:val="single" w:sz="4" w:space="0" w:color="FFFFFF" w:themeColor="accent6" w:themeTint="99"/>
        <w:insideV w:val="single" w:sz="4" w:space="0" w:color="FFFFFF" w:themeColor="accent6" w:themeTint="99"/>
      </w:tblBorders>
    </w:tblPr>
    <w:tblStylePr w:type="firstRow">
      <w:rPr>
        <w:b/>
        <w:bCs/>
        <w:color w:val="FFFFFF" w:themeColor="background1"/>
      </w:rPr>
      <w:tblPr/>
      <w:tcPr>
        <w:tcBorders>
          <w:top w:val="single" w:sz="4" w:space="0" w:color="FFFFFF" w:themeColor="accent6"/>
          <w:left w:val="single" w:sz="4" w:space="0" w:color="FFFFFF" w:themeColor="accent6"/>
          <w:bottom w:val="single" w:sz="4" w:space="0" w:color="FFFFFF" w:themeColor="accent6"/>
          <w:right w:val="single" w:sz="4" w:space="0" w:color="FFFFFF" w:themeColor="accent6"/>
          <w:insideH w:val="nil"/>
          <w:insideV w:val="nil"/>
        </w:tcBorders>
        <w:shd w:val="clear" w:color="auto" w:fill="FFFFFF" w:themeFill="accent6"/>
      </w:tcPr>
    </w:tblStylePr>
    <w:tblStylePr w:type="lastRow">
      <w:rPr>
        <w:b/>
        <w:bCs/>
      </w:rPr>
      <w:tblPr/>
      <w:tcPr>
        <w:tcBorders>
          <w:top w:val="double" w:sz="4" w:space="0" w:color="FFFFFF" w:themeColor="accent6"/>
        </w:tcBorders>
      </w:tcPr>
    </w:tblStylePr>
    <w:tblStylePr w:type="firstCol">
      <w:rPr>
        <w:b/>
        <w:bCs/>
      </w:rPr>
    </w:tblStylePr>
    <w:tblStylePr w:type="lastCol">
      <w:rPr>
        <w:b/>
        <w:bCs/>
      </w:rPr>
    </w:tblStylePr>
    <w:tblStylePr w:type="band1Vert">
      <w:tblPr/>
      <w:tcPr>
        <w:shd w:val="clear" w:color="auto" w:fill="FFFFFF" w:themeFill="accent6" w:themeFillTint="33"/>
      </w:tcPr>
    </w:tblStylePr>
    <w:tblStylePr w:type="band1Horz">
      <w:tblPr/>
      <w:tcPr>
        <w:shd w:val="clear" w:color="auto" w:fill="FFFFFF" w:themeFill="accent6" w:themeFillTint="33"/>
      </w:tcPr>
    </w:tblStylePr>
  </w:style>
  <w:style w:type="table" w:styleId="Tablaconcuadrcula4-nfasis5">
    <w:name w:val="Grid Table 4 Accent 5"/>
    <w:basedOn w:val="Tablanormal"/>
    <w:uiPriority w:val="49"/>
    <w:rsid w:val="00816F71"/>
    <w:pPr>
      <w:spacing w:after="0" w:line="240" w:lineRule="auto"/>
    </w:pPr>
    <w:tblPr>
      <w:tblStyleRowBandSize w:val="1"/>
      <w:tblStyleColBandSize w:val="1"/>
      <w:tblBorders>
        <w:top w:val="single" w:sz="4" w:space="0" w:color="C9C9C9" w:themeColor="accent5" w:themeTint="99"/>
        <w:left w:val="single" w:sz="4" w:space="0" w:color="C9C9C9" w:themeColor="accent5" w:themeTint="99"/>
        <w:bottom w:val="single" w:sz="4" w:space="0" w:color="C9C9C9" w:themeColor="accent5" w:themeTint="99"/>
        <w:right w:val="single" w:sz="4" w:space="0" w:color="C9C9C9" w:themeColor="accent5" w:themeTint="99"/>
        <w:insideH w:val="single" w:sz="4" w:space="0" w:color="C9C9C9" w:themeColor="accent5" w:themeTint="99"/>
        <w:insideV w:val="single" w:sz="4" w:space="0" w:color="C9C9C9" w:themeColor="accent5" w:themeTint="99"/>
      </w:tblBorders>
    </w:tblPr>
    <w:tblStylePr w:type="firstRow">
      <w:rPr>
        <w:b/>
        <w:bCs/>
        <w:color w:val="FFFFFF" w:themeColor="background1"/>
      </w:rPr>
      <w:tblPr/>
      <w:tcPr>
        <w:tcBorders>
          <w:top w:val="single" w:sz="4" w:space="0" w:color="A6A6A6" w:themeColor="accent5"/>
          <w:left w:val="single" w:sz="4" w:space="0" w:color="A6A6A6" w:themeColor="accent5"/>
          <w:bottom w:val="single" w:sz="4" w:space="0" w:color="A6A6A6" w:themeColor="accent5"/>
          <w:right w:val="single" w:sz="4" w:space="0" w:color="A6A6A6" w:themeColor="accent5"/>
          <w:insideH w:val="nil"/>
          <w:insideV w:val="nil"/>
        </w:tcBorders>
        <w:shd w:val="clear" w:color="auto" w:fill="A6A6A6" w:themeFill="accent5"/>
      </w:tcPr>
    </w:tblStylePr>
    <w:tblStylePr w:type="lastRow">
      <w:rPr>
        <w:b/>
        <w:bCs/>
      </w:rPr>
      <w:tblPr/>
      <w:tcPr>
        <w:tcBorders>
          <w:top w:val="double" w:sz="4" w:space="0" w:color="A6A6A6" w:themeColor="accent5"/>
        </w:tcBorders>
      </w:tcPr>
    </w:tblStylePr>
    <w:tblStylePr w:type="firstCol">
      <w:rPr>
        <w:b/>
        <w:bCs/>
      </w:rPr>
    </w:tblStylePr>
    <w:tblStylePr w:type="lastCol">
      <w:rPr>
        <w:b/>
        <w:bCs/>
      </w:rPr>
    </w:tblStylePr>
    <w:tblStylePr w:type="band1Vert">
      <w:tblPr/>
      <w:tcPr>
        <w:shd w:val="clear" w:color="auto" w:fill="EDEDED" w:themeFill="accent5" w:themeFillTint="33"/>
      </w:tcPr>
    </w:tblStylePr>
    <w:tblStylePr w:type="band1Horz">
      <w:tblPr/>
      <w:tcPr>
        <w:shd w:val="clear" w:color="auto" w:fill="EDEDED" w:themeFill="accent5" w:themeFillTint="33"/>
      </w:tcPr>
    </w:tblStylePr>
  </w:style>
  <w:style w:type="table" w:styleId="Tabladelista3-nfasis5">
    <w:name w:val="List Table 3 Accent 5"/>
    <w:basedOn w:val="Tablanormal"/>
    <w:uiPriority w:val="48"/>
    <w:rsid w:val="00816F71"/>
    <w:pPr>
      <w:spacing w:after="0" w:line="240" w:lineRule="auto"/>
    </w:pPr>
    <w:tblPr>
      <w:tblStyleRowBandSize w:val="1"/>
      <w:tblStyleColBandSize w:val="1"/>
      <w:tblBorders>
        <w:top w:val="single" w:sz="4" w:space="0" w:color="A6A6A6" w:themeColor="accent5"/>
        <w:left w:val="single" w:sz="4" w:space="0" w:color="A6A6A6" w:themeColor="accent5"/>
        <w:bottom w:val="single" w:sz="4" w:space="0" w:color="A6A6A6" w:themeColor="accent5"/>
        <w:right w:val="single" w:sz="4" w:space="0" w:color="A6A6A6" w:themeColor="accent5"/>
      </w:tblBorders>
    </w:tblPr>
    <w:tblStylePr w:type="firstRow">
      <w:rPr>
        <w:b/>
        <w:bCs/>
        <w:color w:val="FFFFFF" w:themeColor="background1"/>
      </w:rPr>
      <w:tblPr/>
      <w:tcPr>
        <w:shd w:val="clear" w:color="auto" w:fill="A6A6A6" w:themeFill="accent5"/>
      </w:tcPr>
    </w:tblStylePr>
    <w:tblStylePr w:type="lastRow">
      <w:rPr>
        <w:b/>
        <w:bCs/>
      </w:rPr>
      <w:tblPr/>
      <w:tcPr>
        <w:tcBorders>
          <w:top w:val="double" w:sz="4" w:space="0" w:color="A6A6A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6A6A6" w:themeColor="accent5"/>
          <w:right w:val="single" w:sz="4" w:space="0" w:color="A6A6A6" w:themeColor="accent5"/>
        </w:tcBorders>
      </w:tcPr>
    </w:tblStylePr>
    <w:tblStylePr w:type="band1Horz">
      <w:tblPr/>
      <w:tcPr>
        <w:tcBorders>
          <w:top w:val="single" w:sz="4" w:space="0" w:color="A6A6A6" w:themeColor="accent5"/>
          <w:bottom w:val="single" w:sz="4" w:space="0" w:color="A6A6A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6A6A6" w:themeColor="accent5"/>
          <w:left w:val="nil"/>
        </w:tcBorders>
      </w:tcPr>
    </w:tblStylePr>
    <w:tblStylePr w:type="swCell">
      <w:tblPr/>
      <w:tcPr>
        <w:tcBorders>
          <w:top w:val="double" w:sz="4" w:space="0" w:color="A6A6A6" w:themeColor="accent5"/>
          <w:right w:val="nil"/>
        </w:tcBorders>
      </w:tcPr>
    </w:tblStylePr>
  </w:style>
  <w:style w:type="table" w:styleId="Tabladelista3-nfasis2">
    <w:name w:val="List Table 3 Accent 2"/>
    <w:basedOn w:val="Tablanormal"/>
    <w:uiPriority w:val="48"/>
    <w:rsid w:val="00950630"/>
    <w:pPr>
      <w:spacing w:after="0" w:line="240" w:lineRule="auto"/>
    </w:pPr>
    <w:tblPr>
      <w:tblStyleRowBandSize w:val="1"/>
      <w:tblStyleColBandSize w:val="1"/>
      <w:tblBorders>
        <w:top w:val="single" w:sz="4" w:space="0" w:color="009933" w:themeColor="accent2"/>
        <w:left w:val="single" w:sz="4" w:space="0" w:color="009933" w:themeColor="accent2"/>
        <w:bottom w:val="single" w:sz="4" w:space="0" w:color="009933" w:themeColor="accent2"/>
        <w:right w:val="single" w:sz="4" w:space="0" w:color="009933" w:themeColor="accent2"/>
      </w:tblBorders>
    </w:tblPr>
    <w:tblStylePr w:type="firstRow">
      <w:rPr>
        <w:b/>
        <w:bCs/>
        <w:color w:val="FFFFFF" w:themeColor="background1"/>
      </w:rPr>
      <w:tblPr/>
      <w:tcPr>
        <w:shd w:val="clear" w:color="auto" w:fill="009933" w:themeFill="accent2"/>
      </w:tcPr>
    </w:tblStylePr>
    <w:tblStylePr w:type="lastRow">
      <w:rPr>
        <w:b/>
        <w:bCs/>
      </w:rPr>
      <w:tblPr/>
      <w:tcPr>
        <w:tcBorders>
          <w:top w:val="double" w:sz="4" w:space="0" w:color="009933"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9933" w:themeColor="accent2"/>
          <w:right w:val="single" w:sz="4" w:space="0" w:color="009933" w:themeColor="accent2"/>
        </w:tcBorders>
      </w:tcPr>
    </w:tblStylePr>
    <w:tblStylePr w:type="band1Horz">
      <w:tblPr/>
      <w:tcPr>
        <w:tcBorders>
          <w:top w:val="single" w:sz="4" w:space="0" w:color="009933" w:themeColor="accent2"/>
          <w:bottom w:val="single" w:sz="4" w:space="0" w:color="009933"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9933" w:themeColor="accent2"/>
          <w:left w:val="nil"/>
        </w:tcBorders>
      </w:tcPr>
    </w:tblStylePr>
    <w:tblStylePr w:type="swCell">
      <w:tblPr/>
      <w:tcPr>
        <w:tcBorders>
          <w:top w:val="double" w:sz="4" w:space="0" w:color="009933" w:themeColor="accent2"/>
          <w:right w:val="nil"/>
        </w:tcBorders>
      </w:tcPr>
    </w:tblStylePr>
  </w:style>
  <w:style w:type="table" w:styleId="Tabladelista3-nfasis3">
    <w:name w:val="List Table 3 Accent 3"/>
    <w:basedOn w:val="Tablanormal"/>
    <w:uiPriority w:val="48"/>
    <w:rsid w:val="00950630"/>
    <w:pPr>
      <w:spacing w:after="0" w:line="240" w:lineRule="auto"/>
    </w:pPr>
    <w:tblPr>
      <w:tblStyleRowBandSize w:val="1"/>
      <w:tblStyleColBandSize w:val="1"/>
      <w:tblBorders>
        <w:top w:val="single" w:sz="4" w:space="0" w:color="00C833" w:themeColor="accent3"/>
        <w:left w:val="single" w:sz="4" w:space="0" w:color="00C833" w:themeColor="accent3"/>
        <w:bottom w:val="single" w:sz="4" w:space="0" w:color="00C833" w:themeColor="accent3"/>
        <w:right w:val="single" w:sz="4" w:space="0" w:color="00C833" w:themeColor="accent3"/>
      </w:tblBorders>
    </w:tblPr>
    <w:tblStylePr w:type="firstRow">
      <w:rPr>
        <w:b/>
        <w:bCs/>
        <w:color w:val="FFFFFF" w:themeColor="background1"/>
      </w:rPr>
      <w:tblPr/>
      <w:tcPr>
        <w:shd w:val="clear" w:color="auto" w:fill="00C833" w:themeFill="accent3"/>
      </w:tcPr>
    </w:tblStylePr>
    <w:tblStylePr w:type="lastRow">
      <w:rPr>
        <w:b/>
        <w:bCs/>
      </w:rPr>
      <w:tblPr/>
      <w:tcPr>
        <w:tcBorders>
          <w:top w:val="double" w:sz="4" w:space="0" w:color="00C833"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C833" w:themeColor="accent3"/>
          <w:right w:val="single" w:sz="4" w:space="0" w:color="00C833" w:themeColor="accent3"/>
        </w:tcBorders>
      </w:tcPr>
    </w:tblStylePr>
    <w:tblStylePr w:type="band1Horz">
      <w:tblPr/>
      <w:tcPr>
        <w:tcBorders>
          <w:top w:val="single" w:sz="4" w:space="0" w:color="00C833" w:themeColor="accent3"/>
          <w:bottom w:val="single" w:sz="4" w:space="0" w:color="00C833"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C833" w:themeColor="accent3"/>
          <w:left w:val="nil"/>
        </w:tcBorders>
      </w:tcPr>
    </w:tblStylePr>
    <w:tblStylePr w:type="swCell">
      <w:tblPr/>
      <w:tcPr>
        <w:tcBorders>
          <w:top w:val="double" w:sz="4" w:space="0" w:color="00C833" w:themeColor="accent3"/>
          <w:right w:val="nil"/>
        </w:tcBorders>
      </w:tcPr>
    </w:tblStylePr>
  </w:style>
  <w:style w:type="paragraph" w:styleId="TtuloTDC">
    <w:name w:val="TOC Heading"/>
    <w:basedOn w:val="Ttulo1"/>
    <w:next w:val="Normal"/>
    <w:uiPriority w:val="39"/>
    <w:unhideWhenUsed/>
    <w:qFormat/>
    <w:rsid w:val="000C3A50"/>
    <w:pPr>
      <w:spacing w:before="240"/>
      <w:outlineLvl w:val="9"/>
    </w:pPr>
    <w:rPr>
      <w:color w:val="BF7200" w:themeColor="accent1" w:themeShade="BF"/>
      <w:kern w:val="0"/>
      <w:lang w:eastAsia="es-ES"/>
      <w14:ligatures w14:val="none"/>
    </w:rPr>
  </w:style>
  <w:style w:type="paragraph" w:styleId="TDC2">
    <w:name w:val="toc 2"/>
    <w:basedOn w:val="Normal"/>
    <w:next w:val="Normal"/>
    <w:autoRedefine/>
    <w:uiPriority w:val="39"/>
    <w:unhideWhenUsed/>
    <w:rsid w:val="000C3A50"/>
    <w:pPr>
      <w:spacing w:after="100"/>
      <w:ind w:left="220"/>
    </w:pPr>
    <w:rPr>
      <w:rFonts w:eastAsiaTheme="minorEastAsia" w:cs="Times New Roman"/>
      <w:kern w:val="0"/>
      <w:lang w:eastAsia="es-ES"/>
      <w14:ligatures w14:val="none"/>
    </w:rPr>
  </w:style>
  <w:style w:type="paragraph" w:styleId="TDC1">
    <w:name w:val="toc 1"/>
    <w:basedOn w:val="Normal"/>
    <w:next w:val="Normal"/>
    <w:autoRedefine/>
    <w:uiPriority w:val="39"/>
    <w:unhideWhenUsed/>
    <w:rsid w:val="000C3A50"/>
    <w:pPr>
      <w:spacing w:after="100"/>
    </w:pPr>
    <w:rPr>
      <w:rFonts w:eastAsiaTheme="minorEastAsia" w:cs="Times New Roman"/>
      <w:kern w:val="0"/>
      <w:lang w:eastAsia="es-ES"/>
      <w14:ligatures w14:val="none"/>
    </w:rPr>
  </w:style>
  <w:style w:type="paragraph" w:styleId="TDC3">
    <w:name w:val="toc 3"/>
    <w:basedOn w:val="Normal"/>
    <w:next w:val="Normal"/>
    <w:autoRedefine/>
    <w:uiPriority w:val="39"/>
    <w:unhideWhenUsed/>
    <w:rsid w:val="000C3A50"/>
    <w:pPr>
      <w:spacing w:after="100"/>
      <w:ind w:left="440"/>
    </w:pPr>
    <w:rPr>
      <w:rFonts w:eastAsiaTheme="minorEastAsia" w:cs="Times New Roman"/>
      <w:kern w:val="0"/>
      <w:lang w:eastAsia="es-ES"/>
      <w14:ligatures w14:val="none"/>
    </w:rPr>
  </w:style>
  <w:style w:type="character" w:styleId="Hipervnculo">
    <w:name w:val="Hyperlink"/>
    <w:basedOn w:val="Fuentedeprrafopredeter"/>
    <w:uiPriority w:val="99"/>
    <w:unhideWhenUsed/>
    <w:rsid w:val="000C3A50"/>
    <w:rPr>
      <w:color w:val="00FA64" w:themeColor="hyperlink"/>
      <w:u w:val="single"/>
    </w:rPr>
  </w:style>
  <w:style w:type="paragraph" w:styleId="Tabladeilustraciones">
    <w:name w:val="table of figures"/>
    <w:basedOn w:val="Normal"/>
    <w:next w:val="Normal"/>
    <w:uiPriority w:val="99"/>
    <w:unhideWhenUsed/>
    <w:rsid w:val="000C3A50"/>
    <w:pPr>
      <w:widowControl w:val="0"/>
      <w:autoSpaceDE w:val="0"/>
      <w:autoSpaceDN w:val="0"/>
      <w:spacing w:line="240" w:lineRule="auto"/>
    </w:pPr>
    <w:rPr>
      <w:rFonts w:ascii="Arial Nova Cond" w:eastAsia="Microsoft Sans Serif" w:hAnsi="Arial Nova Cond" w:cs="Microsoft Sans Serif"/>
      <w:kern w:val="0"/>
      <w:lang w:val="en-US" w:bidi="ar-SA"/>
      <w14:ligatures w14:val="none"/>
    </w:rPr>
  </w:style>
  <w:style w:type="paragraph" w:customStyle="1" w:styleId="Fechasportada">
    <w:name w:val="Fechas portada"/>
    <w:basedOn w:val="Normal"/>
    <w:link w:val="FechasportadaCar"/>
    <w:qFormat/>
    <w:rsid w:val="00DB4404"/>
    <w:rPr>
      <w:color w:val="FFFFFF" w:themeColor="background1"/>
      <w:sz w:val="36"/>
      <w:szCs w:val="36"/>
      <w:lang w:val="en-US"/>
    </w:rPr>
  </w:style>
  <w:style w:type="character" w:customStyle="1" w:styleId="FechasportadaCar">
    <w:name w:val="Fechas portada Car"/>
    <w:basedOn w:val="Fuentedeprrafopredeter"/>
    <w:link w:val="Fechasportada"/>
    <w:rsid w:val="00DB4404"/>
    <w:rPr>
      <w:color w:val="FFFFFF" w:themeColor="background1"/>
      <w:sz w:val="36"/>
      <w:szCs w:val="36"/>
      <w:lang w:val="en-US"/>
    </w:rPr>
  </w:style>
  <w:style w:type="paragraph" w:customStyle="1" w:styleId="Deliverableportada">
    <w:name w:val="Deliverable portada"/>
    <w:basedOn w:val="Normal"/>
    <w:link w:val="DeliverableportadaCar"/>
    <w:qFormat/>
    <w:rsid w:val="00DB4404"/>
    <w:pPr>
      <w:spacing w:line="240" w:lineRule="auto"/>
    </w:pPr>
    <w:rPr>
      <w:color w:val="FFFFFF" w:themeColor="background1"/>
      <w:sz w:val="48"/>
      <w:szCs w:val="48"/>
    </w:rPr>
  </w:style>
  <w:style w:type="character" w:customStyle="1" w:styleId="DeliverableportadaCar">
    <w:name w:val="Deliverable portada Car"/>
    <w:basedOn w:val="Fuentedeprrafopredeter"/>
    <w:link w:val="Deliverableportada"/>
    <w:rsid w:val="00DB4404"/>
    <w:rPr>
      <w:color w:val="FFFFFF" w:themeColor="background1"/>
      <w:sz w:val="48"/>
      <w:szCs w:val="48"/>
    </w:rPr>
  </w:style>
  <w:style w:type="paragraph" w:customStyle="1" w:styleId="Projectnumberportada">
    <w:name w:val="Project number portada"/>
    <w:basedOn w:val="Normal"/>
    <w:link w:val="ProjectnumberportadaCar"/>
    <w:qFormat/>
    <w:rsid w:val="00DB4404"/>
    <w:rPr>
      <w:color w:val="FFFFFF" w:themeColor="background1"/>
      <w:sz w:val="48"/>
      <w:szCs w:val="48"/>
      <w:lang w:val="en-US"/>
    </w:rPr>
  </w:style>
  <w:style w:type="character" w:customStyle="1" w:styleId="ProjectnumberportadaCar">
    <w:name w:val="Project number portada Car"/>
    <w:basedOn w:val="Fuentedeprrafopredeter"/>
    <w:link w:val="Projectnumberportada"/>
    <w:rsid w:val="00DB4404"/>
    <w:rPr>
      <w:color w:val="FFFFFF" w:themeColor="background1"/>
      <w:sz w:val="48"/>
      <w:szCs w:val="48"/>
      <w:lang w:val="en-US"/>
    </w:rPr>
  </w:style>
  <w:style w:type="paragraph" w:customStyle="1" w:styleId="Nombredelproyectoportada">
    <w:name w:val="Nombre del proyecto portada"/>
    <w:basedOn w:val="Normal"/>
    <w:link w:val="NombredelproyectoportadaCar"/>
    <w:qFormat/>
    <w:rsid w:val="00DB4404"/>
    <w:rPr>
      <w:b/>
      <w:bCs/>
      <w:color w:val="FFFFFF" w:themeColor="background1"/>
      <w:sz w:val="48"/>
      <w:szCs w:val="48"/>
      <w:lang w:val="en-US"/>
    </w:rPr>
  </w:style>
  <w:style w:type="character" w:customStyle="1" w:styleId="NombredelproyectoportadaCar">
    <w:name w:val="Nombre del proyecto portada Car"/>
    <w:basedOn w:val="Fuentedeprrafopredeter"/>
    <w:link w:val="Nombredelproyectoportada"/>
    <w:rsid w:val="00DB4404"/>
    <w:rPr>
      <w:b/>
      <w:bCs/>
      <w:color w:val="FFFFFF" w:themeColor="background1"/>
      <w:sz w:val="48"/>
      <w:szCs w:val="48"/>
      <w:lang w:val="en-US"/>
    </w:rPr>
  </w:style>
  <w:style w:type="character" w:styleId="Refdecomentario">
    <w:name w:val="annotation reference"/>
    <w:basedOn w:val="Fuentedeprrafopredeter"/>
    <w:uiPriority w:val="99"/>
    <w:semiHidden/>
    <w:unhideWhenUsed/>
    <w:rsid w:val="00C84843"/>
    <w:rPr>
      <w:sz w:val="16"/>
      <w:szCs w:val="16"/>
    </w:rPr>
  </w:style>
  <w:style w:type="paragraph" w:styleId="Textocomentario">
    <w:name w:val="annotation text"/>
    <w:basedOn w:val="Normal"/>
    <w:link w:val="TextocomentarioCar"/>
    <w:uiPriority w:val="99"/>
    <w:unhideWhenUsed/>
    <w:rsid w:val="00C84843"/>
    <w:pPr>
      <w:spacing w:line="240" w:lineRule="auto"/>
    </w:pPr>
  </w:style>
  <w:style w:type="character" w:customStyle="1" w:styleId="TextocomentarioCar">
    <w:name w:val="Texto comentario Car"/>
    <w:basedOn w:val="Fuentedeprrafopredeter"/>
    <w:link w:val="Textocomentario"/>
    <w:uiPriority w:val="99"/>
    <w:rsid w:val="00C84843"/>
    <w:rPr>
      <w:rFonts w:ascii="Poppins" w:eastAsia="Calibri" w:hAnsi="Poppins" w:cs="Poppins"/>
      <w:sz w:val="20"/>
      <w:szCs w:val="20"/>
      <w:lang w:val="en-US"/>
    </w:rPr>
  </w:style>
  <w:style w:type="paragraph" w:styleId="Asuntodelcomentario">
    <w:name w:val="annotation subject"/>
    <w:basedOn w:val="Textocomentario"/>
    <w:next w:val="Textocomentario"/>
    <w:link w:val="AsuntodelcomentarioCar"/>
    <w:uiPriority w:val="99"/>
    <w:semiHidden/>
    <w:unhideWhenUsed/>
    <w:rsid w:val="00C84843"/>
    <w:rPr>
      <w:b/>
      <w:bCs/>
    </w:rPr>
  </w:style>
  <w:style w:type="character" w:customStyle="1" w:styleId="AsuntodelcomentarioCar">
    <w:name w:val="Asunto del comentario Car"/>
    <w:basedOn w:val="TextocomentarioCar"/>
    <w:link w:val="Asuntodelcomentario"/>
    <w:uiPriority w:val="99"/>
    <w:semiHidden/>
    <w:rsid w:val="00C84843"/>
    <w:rPr>
      <w:rFonts w:ascii="Poppins" w:eastAsia="Calibri" w:hAnsi="Poppins" w:cs="Poppins"/>
      <w:b/>
      <w:bCs/>
      <w:sz w:val="20"/>
      <w:szCs w:val="20"/>
      <w:lang w:val="en-US"/>
    </w:rPr>
  </w:style>
  <w:style w:type="paragraph" w:styleId="Descripcin">
    <w:name w:val="caption"/>
    <w:basedOn w:val="Normal"/>
    <w:next w:val="Normal"/>
    <w:uiPriority w:val="35"/>
    <w:unhideWhenUsed/>
    <w:qFormat/>
    <w:rsid w:val="00F75160"/>
    <w:pPr>
      <w:spacing w:after="80" w:line="240" w:lineRule="auto"/>
      <w:jc w:val="center"/>
    </w:pPr>
    <w:rPr>
      <w:iCs/>
      <w:color w:val="595959" w:themeColor="accent4"/>
      <w:sz w:val="18"/>
      <w:szCs w:val="18"/>
    </w:rPr>
  </w:style>
  <w:style w:type="paragraph" w:styleId="Prrafodelista">
    <w:name w:val="List Paragraph"/>
    <w:basedOn w:val="Normal"/>
    <w:uiPriority w:val="34"/>
    <w:qFormat/>
    <w:rsid w:val="00F75160"/>
    <w:pPr>
      <w:ind w:left="720"/>
      <w:contextualSpacing/>
    </w:pPr>
  </w:style>
  <w:style w:type="character" w:styleId="Mencinsinresolver">
    <w:name w:val="Unresolved Mention"/>
    <w:basedOn w:val="Fuentedeprrafopredeter"/>
    <w:uiPriority w:val="99"/>
    <w:semiHidden/>
    <w:unhideWhenUsed/>
    <w:rsid w:val="00265173"/>
    <w:rPr>
      <w:color w:val="605E5C"/>
      <w:shd w:val="clear" w:color="auto" w:fill="E1DFDD"/>
    </w:rPr>
  </w:style>
  <w:style w:type="paragraph" w:customStyle="1" w:styleId="Default">
    <w:name w:val="Default"/>
    <w:rsid w:val="00F402C6"/>
    <w:pPr>
      <w:autoSpaceDE w:val="0"/>
      <w:autoSpaceDN w:val="0"/>
      <w:adjustRightInd w:val="0"/>
      <w:spacing w:after="0" w:line="240" w:lineRule="auto"/>
    </w:pPr>
    <w:rPr>
      <w:rFonts w:ascii="Tw Cen MT" w:hAnsi="Tw Cen MT" w:cs="Tw Cen MT"/>
      <w:color w:val="000000"/>
      <w:kern w:val="0"/>
      <w:sz w:val="24"/>
      <w:szCs w:val="24"/>
      <w:lang w:bidi="ar-SA"/>
    </w:rPr>
  </w:style>
  <w:style w:type="paragraph" w:styleId="NormalWeb">
    <w:name w:val="Normal (Web)"/>
    <w:basedOn w:val="Normal"/>
    <w:uiPriority w:val="99"/>
    <w:semiHidden/>
    <w:unhideWhenUsed/>
    <w:rsid w:val="003B6FB3"/>
    <w:rPr>
      <w:rFonts w:ascii="Times New Roman" w:hAnsi="Times New Roman" w:cs="Times New Roman"/>
      <w:sz w:val="24"/>
      <w:szCs w:val="24"/>
    </w:rPr>
  </w:style>
  <w:style w:type="paragraph" w:styleId="Revisin">
    <w:name w:val="Revision"/>
    <w:hidden/>
    <w:uiPriority w:val="99"/>
    <w:semiHidden/>
    <w:rsid w:val="001E20B9"/>
    <w:pPr>
      <w:spacing w:after="0" w:line="240" w:lineRule="auto"/>
    </w:pPr>
    <w:rPr>
      <w:rFonts w:eastAsia="Calibri" w:cs="Poppin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2796">
      <w:bodyDiv w:val="1"/>
      <w:marLeft w:val="0"/>
      <w:marRight w:val="0"/>
      <w:marTop w:val="0"/>
      <w:marBottom w:val="0"/>
      <w:divBdr>
        <w:top w:val="none" w:sz="0" w:space="0" w:color="auto"/>
        <w:left w:val="none" w:sz="0" w:space="0" w:color="auto"/>
        <w:bottom w:val="none" w:sz="0" w:space="0" w:color="auto"/>
        <w:right w:val="none" w:sz="0" w:space="0" w:color="auto"/>
      </w:divBdr>
    </w:div>
    <w:div w:id="95177413">
      <w:bodyDiv w:val="1"/>
      <w:marLeft w:val="0"/>
      <w:marRight w:val="0"/>
      <w:marTop w:val="0"/>
      <w:marBottom w:val="0"/>
      <w:divBdr>
        <w:top w:val="none" w:sz="0" w:space="0" w:color="auto"/>
        <w:left w:val="none" w:sz="0" w:space="0" w:color="auto"/>
        <w:bottom w:val="none" w:sz="0" w:space="0" w:color="auto"/>
        <w:right w:val="none" w:sz="0" w:space="0" w:color="auto"/>
      </w:divBdr>
    </w:div>
    <w:div w:id="208733983">
      <w:bodyDiv w:val="1"/>
      <w:marLeft w:val="0"/>
      <w:marRight w:val="0"/>
      <w:marTop w:val="0"/>
      <w:marBottom w:val="0"/>
      <w:divBdr>
        <w:top w:val="none" w:sz="0" w:space="0" w:color="auto"/>
        <w:left w:val="none" w:sz="0" w:space="0" w:color="auto"/>
        <w:bottom w:val="none" w:sz="0" w:space="0" w:color="auto"/>
        <w:right w:val="none" w:sz="0" w:space="0" w:color="auto"/>
      </w:divBdr>
    </w:div>
    <w:div w:id="274800356">
      <w:bodyDiv w:val="1"/>
      <w:marLeft w:val="0"/>
      <w:marRight w:val="0"/>
      <w:marTop w:val="0"/>
      <w:marBottom w:val="0"/>
      <w:divBdr>
        <w:top w:val="none" w:sz="0" w:space="0" w:color="auto"/>
        <w:left w:val="none" w:sz="0" w:space="0" w:color="auto"/>
        <w:bottom w:val="none" w:sz="0" w:space="0" w:color="auto"/>
        <w:right w:val="none" w:sz="0" w:space="0" w:color="auto"/>
      </w:divBdr>
    </w:div>
    <w:div w:id="316766882">
      <w:bodyDiv w:val="1"/>
      <w:marLeft w:val="0"/>
      <w:marRight w:val="0"/>
      <w:marTop w:val="0"/>
      <w:marBottom w:val="0"/>
      <w:divBdr>
        <w:top w:val="none" w:sz="0" w:space="0" w:color="auto"/>
        <w:left w:val="none" w:sz="0" w:space="0" w:color="auto"/>
        <w:bottom w:val="none" w:sz="0" w:space="0" w:color="auto"/>
        <w:right w:val="none" w:sz="0" w:space="0" w:color="auto"/>
      </w:divBdr>
    </w:div>
    <w:div w:id="370957343">
      <w:bodyDiv w:val="1"/>
      <w:marLeft w:val="0"/>
      <w:marRight w:val="0"/>
      <w:marTop w:val="0"/>
      <w:marBottom w:val="0"/>
      <w:divBdr>
        <w:top w:val="none" w:sz="0" w:space="0" w:color="auto"/>
        <w:left w:val="none" w:sz="0" w:space="0" w:color="auto"/>
        <w:bottom w:val="none" w:sz="0" w:space="0" w:color="auto"/>
        <w:right w:val="none" w:sz="0" w:space="0" w:color="auto"/>
      </w:divBdr>
    </w:div>
    <w:div w:id="475341362">
      <w:bodyDiv w:val="1"/>
      <w:marLeft w:val="0"/>
      <w:marRight w:val="0"/>
      <w:marTop w:val="0"/>
      <w:marBottom w:val="0"/>
      <w:divBdr>
        <w:top w:val="none" w:sz="0" w:space="0" w:color="auto"/>
        <w:left w:val="none" w:sz="0" w:space="0" w:color="auto"/>
        <w:bottom w:val="none" w:sz="0" w:space="0" w:color="auto"/>
        <w:right w:val="none" w:sz="0" w:space="0" w:color="auto"/>
      </w:divBdr>
    </w:div>
    <w:div w:id="480193138">
      <w:bodyDiv w:val="1"/>
      <w:marLeft w:val="0"/>
      <w:marRight w:val="0"/>
      <w:marTop w:val="0"/>
      <w:marBottom w:val="0"/>
      <w:divBdr>
        <w:top w:val="none" w:sz="0" w:space="0" w:color="auto"/>
        <w:left w:val="none" w:sz="0" w:space="0" w:color="auto"/>
        <w:bottom w:val="none" w:sz="0" w:space="0" w:color="auto"/>
        <w:right w:val="none" w:sz="0" w:space="0" w:color="auto"/>
      </w:divBdr>
    </w:div>
    <w:div w:id="499203692">
      <w:bodyDiv w:val="1"/>
      <w:marLeft w:val="0"/>
      <w:marRight w:val="0"/>
      <w:marTop w:val="0"/>
      <w:marBottom w:val="0"/>
      <w:divBdr>
        <w:top w:val="none" w:sz="0" w:space="0" w:color="auto"/>
        <w:left w:val="none" w:sz="0" w:space="0" w:color="auto"/>
        <w:bottom w:val="none" w:sz="0" w:space="0" w:color="auto"/>
        <w:right w:val="none" w:sz="0" w:space="0" w:color="auto"/>
      </w:divBdr>
    </w:div>
    <w:div w:id="628169252">
      <w:bodyDiv w:val="1"/>
      <w:marLeft w:val="0"/>
      <w:marRight w:val="0"/>
      <w:marTop w:val="0"/>
      <w:marBottom w:val="0"/>
      <w:divBdr>
        <w:top w:val="none" w:sz="0" w:space="0" w:color="auto"/>
        <w:left w:val="none" w:sz="0" w:space="0" w:color="auto"/>
        <w:bottom w:val="none" w:sz="0" w:space="0" w:color="auto"/>
        <w:right w:val="none" w:sz="0" w:space="0" w:color="auto"/>
      </w:divBdr>
    </w:div>
    <w:div w:id="654992130">
      <w:bodyDiv w:val="1"/>
      <w:marLeft w:val="0"/>
      <w:marRight w:val="0"/>
      <w:marTop w:val="0"/>
      <w:marBottom w:val="0"/>
      <w:divBdr>
        <w:top w:val="none" w:sz="0" w:space="0" w:color="auto"/>
        <w:left w:val="none" w:sz="0" w:space="0" w:color="auto"/>
        <w:bottom w:val="none" w:sz="0" w:space="0" w:color="auto"/>
        <w:right w:val="none" w:sz="0" w:space="0" w:color="auto"/>
      </w:divBdr>
    </w:div>
    <w:div w:id="691692326">
      <w:bodyDiv w:val="1"/>
      <w:marLeft w:val="0"/>
      <w:marRight w:val="0"/>
      <w:marTop w:val="0"/>
      <w:marBottom w:val="0"/>
      <w:divBdr>
        <w:top w:val="none" w:sz="0" w:space="0" w:color="auto"/>
        <w:left w:val="none" w:sz="0" w:space="0" w:color="auto"/>
        <w:bottom w:val="none" w:sz="0" w:space="0" w:color="auto"/>
        <w:right w:val="none" w:sz="0" w:space="0" w:color="auto"/>
      </w:divBdr>
    </w:div>
    <w:div w:id="692539387">
      <w:bodyDiv w:val="1"/>
      <w:marLeft w:val="0"/>
      <w:marRight w:val="0"/>
      <w:marTop w:val="0"/>
      <w:marBottom w:val="0"/>
      <w:divBdr>
        <w:top w:val="none" w:sz="0" w:space="0" w:color="auto"/>
        <w:left w:val="none" w:sz="0" w:space="0" w:color="auto"/>
        <w:bottom w:val="none" w:sz="0" w:space="0" w:color="auto"/>
        <w:right w:val="none" w:sz="0" w:space="0" w:color="auto"/>
      </w:divBdr>
    </w:div>
    <w:div w:id="723942936">
      <w:bodyDiv w:val="1"/>
      <w:marLeft w:val="0"/>
      <w:marRight w:val="0"/>
      <w:marTop w:val="0"/>
      <w:marBottom w:val="0"/>
      <w:divBdr>
        <w:top w:val="none" w:sz="0" w:space="0" w:color="auto"/>
        <w:left w:val="none" w:sz="0" w:space="0" w:color="auto"/>
        <w:bottom w:val="none" w:sz="0" w:space="0" w:color="auto"/>
        <w:right w:val="none" w:sz="0" w:space="0" w:color="auto"/>
      </w:divBdr>
    </w:div>
    <w:div w:id="769004596">
      <w:bodyDiv w:val="1"/>
      <w:marLeft w:val="0"/>
      <w:marRight w:val="0"/>
      <w:marTop w:val="0"/>
      <w:marBottom w:val="0"/>
      <w:divBdr>
        <w:top w:val="none" w:sz="0" w:space="0" w:color="auto"/>
        <w:left w:val="none" w:sz="0" w:space="0" w:color="auto"/>
        <w:bottom w:val="none" w:sz="0" w:space="0" w:color="auto"/>
        <w:right w:val="none" w:sz="0" w:space="0" w:color="auto"/>
      </w:divBdr>
    </w:div>
    <w:div w:id="917011788">
      <w:bodyDiv w:val="1"/>
      <w:marLeft w:val="0"/>
      <w:marRight w:val="0"/>
      <w:marTop w:val="0"/>
      <w:marBottom w:val="0"/>
      <w:divBdr>
        <w:top w:val="none" w:sz="0" w:space="0" w:color="auto"/>
        <w:left w:val="none" w:sz="0" w:space="0" w:color="auto"/>
        <w:bottom w:val="none" w:sz="0" w:space="0" w:color="auto"/>
        <w:right w:val="none" w:sz="0" w:space="0" w:color="auto"/>
      </w:divBdr>
    </w:div>
    <w:div w:id="933710584">
      <w:bodyDiv w:val="1"/>
      <w:marLeft w:val="0"/>
      <w:marRight w:val="0"/>
      <w:marTop w:val="0"/>
      <w:marBottom w:val="0"/>
      <w:divBdr>
        <w:top w:val="none" w:sz="0" w:space="0" w:color="auto"/>
        <w:left w:val="none" w:sz="0" w:space="0" w:color="auto"/>
        <w:bottom w:val="none" w:sz="0" w:space="0" w:color="auto"/>
        <w:right w:val="none" w:sz="0" w:space="0" w:color="auto"/>
      </w:divBdr>
    </w:div>
    <w:div w:id="943146772">
      <w:bodyDiv w:val="1"/>
      <w:marLeft w:val="0"/>
      <w:marRight w:val="0"/>
      <w:marTop w:val="0"/>
      <w:marBottom w:val="0"/>
      <w:divBdr>
        <w:top w:val="none" w:sz="0" w:space="0" w:color="auto"/>
        <w:left w:val="none" w:sz="0" w:space="0" w:color="auto"/>
        <w:bottom w:val="none" w:sz="0" w:space="0" w:color="auto"/>
        <w:right w:val="none" w:sz="0" w:space="0" w:color="auto"/>
      </w:divBdr>
    </w:div>
    <w:div w:id="980157946">
      <w:bodyDiv w:val="1"/>
      <w:marLeft w:val="0"/>
      <w:marRight w:val="0"/>
      <w:marTop w:val="0"/>
      <w:marBottom w:val="0"/>
      <w:divBdr>
        <w:top w:val="none" w:sz="0" w:space="0" w:color="auto"/>
        <w:left w:val="none" w:sz="0" w:space="0" w:color="auto"/>
        <w:bottom w:val="none" w:sz="0" w:space="0" w:color="auto"/>
        <w:right w:val="none" w:sz="0" w:space="0" w:color="auto"/>
      </w:divBdr>
    </w:div>
    <w:div w:id="988747069">
      <w:bodyDiv w:val="1"/>
      <w:marLeft w:val="0"/>
      <w:marRight w:val="0"/>
      <w:marTop w:val="0"/>
      <w:marBottom w:val="0"/>
      <w:divBdr>
        <w:top w:val="none" w:sz="0" w:space="0" w:color="auto"/>
        <w:left w:val="none" w:sz="0" w:space="0" w:color="auto"/>
        <w:bottom w:val="none" w:sz="0" w:space="0" w:color="auto"/>
        <w:right w:val="none" w:sz="0" w:space="0" w:color="auto"/>
      </w:divBdr>
    </w:div>
    <w:div w:id="994336826">
      <w:bodyDiv w:val="1"/>
      <w:marLeft w:val="0"/>
      <w:marRight w:val="0"/>
      <w:marTop w:val="0"/>
      <w:marBottom w:val="0"/>
      <w:divBdr>
        <w:top w:val="none" w:sz="0" w:space="0" w:color="auto"/>
        <w:left w:val="none" w:sz="0" w:space="0" w:color="auto"/>
        <w:bottom w:val="none" w:sz="0" w:space="0" w:color="auto"/>
        <w:right w:val="none" w:sz="0" w:space="0" w:color="auto"/>
      </w:divBdr>
    </w:div>
    <w:div w:id="1220439975">
      <w:bodyDiv w:val="1"/>
      <w:marLeft w:val="0"/>
      <w:marRight w:val="0"/>
      <w:marTop w:val="0"/>
      <w:marBottom w:val="0"/>
      <w:divBdr>
        <w:top w:val="none" w:sz="0" w:space="0" w:color="auto"/>
        <w:left w:val="none" w:sz="0" w:space="0" w:color="auto"/>
        <w:bottom w:val="none" w:sz="0" w:space="0" w:color="auto"/>
        <w:right w:val="none" w:sz="0" w:space="0" w:color="auto"/>
      </w:divBdr>
    </w:div>
    <w:div w:id="1449811236">
      <w:bodyDiv w:val="1"/>
      <w:marLeft w:val="0"/>
      <w:marRight w:val="0"/>
      <w:marTop w:val="0"/>
      <w:marBottom w:val="0"/>
      <w:divBdr>
        <w:top w:val="none" w:sz="0" w:space="0" w:color="auto"/>
        <w:left w:val="none" w:sz="0" w:space="0" w:color="auto"/>
        <w:bottom w:val="none" w:sz="0" w:space="0" w:color="auto"/>
        <w:right w:val="none" w:sz="0" w:space="0" w:color="auto"/>
      </w:divBdr>
    </w:div>
    <w:div w:id="1456411252">
      <w:bodyDiv w:val="1"/>
      <w:marLeft w:val="0"/>
      <w:marRight w:val="0"/>
      <w:marTop w:val="0"/>
      <w:marBottom w:val="0"/>
      <w:divBdr>
        <w:top w:val="none" w:sz="0" w:space="0" w:color="auto"/>
        <w:left w:val="none" w:sz="0" w:space="0" w:color="auto"/>
        <w:bottom w:val="none" w:sz="0" w:space="0" w:color="auto"/>
        <w:right w:val="none" w:sz="0" w:space="0" w:color="auto"/>
      </w:divBdr>
    </w:div>
    <w:div w:id="1495954553">
      <w:bodyDiv w:val="1"/>
      <w:marLeft w:val="0"/>
      <w:marRight w:val="0"/>
      <w:marTop w:val="0"/>
      <w:marBottom w:val="0"/>
      <w:divBdr>
        <w:top w:val="none" w:sz="0" w:space="0" w:color="auto"/>
        <w:left w:val="none" w:sz="0" w:space="0" w:color="auto"/>
        <w:bottom w:val="none" w:sz="0" w:space="0" w:color="auto"/>
        <w:right w:val="none" w:sz="0" w:space="0" w:color="auto"/>
      </w:divBdr>
    </w:div>
    <w:div w:id="1680624195">
      <w:bodyDiv w:val="1"/>
      <w:marLeft w:val="0"/>
      <w:marRight w:val="0"/>
      <w:marTop w:val="0"/>
      <w:marBottom w:val="0"/>
      <w:divBdr>
        <w:top w:val="none" w:sz="0" w:space="0" w:color="auto"/>
        <w:left w:val="none" w:sz="0" w:space="0" w:color="auto"/>
        <w:bottom w:val="none" w:sz="0" w:space="0" w:color="auto"/>
        <w:right w:val="none" w:sz="0" w:space="0" w:color="auto"/>
      </w:divBdr>
    </w:div>
    <w:div w:id="1802187098">
      <w:bodyDiv w:val="1"/>
      <w:marLeft w:val="0"/>
      <w:marRight w:val="0"/>
      <w:marTop w:val="0"/>
      <w:marBottom w:val="0"/>
      <w:divBdr>
        <w:top w:val="none" w:sz="0" w:space="0" w:color="auto"/>
        <w:left w:val="none" w:sz="0" w:space="0" w:color="auto"/>
        <w:bottom w:val="none" w:sz="0" w:space="0" w:color="auto"/>
        <w:right w:val="none" w:sz="0" w:space="0" w:color="auto"/>
      </w:divBdr>
    </w:div>
    <w:div w:id="1804694251">
      <w:bodyDiv w:val="1"/>
      <w:marLeft w:val="0"/>
      <w:marRight w:val="0"/>
      <w:marTop w:val="0"/>
      <w:marBottom w:val="0"/>
      <w:divBdr>
        <w:top w:val="none" w:sz="0" w:space="0" w:color="auto"/>
        <w:left w:val="none" w:sz="0" w:space="0" w:color="auto"/>
        <w:bottom w:val="none" w:sz="0" w:space="0" w:color="auto"/>
        <w:right w:val="none" w:sz="0" w:space="0" w:color="auto"/>
      </w:divBdr>
    </w:div>
    <w:div w:id="1830321121">
      <w:bodyDiv w:val="1"/>
      <w:marLeft w:val="0"/>
      <w:marRight w:val="0"/>
      <w:marTop w:val="0"/>
      <w:marBottom w:val="0"/>
      <w:divBdr>
        <w:top w:val="none" w:sz="0" w:space="0" w:color="auto"/>
        <w:left w:val="none" w:sz="0" w:space="0" w:color="auto"/>
        <w:bottom w:val="none" w:sz="0" w:space="0" w:color="auto"/>
        <w:right w:val="none" w:sz="0" w:space="0" w:color="auto"/>
      </w:divBdr>
    </w:div>
    <w:div w:id="1854032294">
      <w:bodyDiv w:val="1"/>
      <w:marLeft w:val="0"/>
      <w:marRight w:val="0"/>
      <w:marTop w:val="0"/>
      <w:marBottom w:val="0"/>
      <w:divBdr>
        <w:top w:val="none" w:sz="0" w:space="0" w:color="auto"/>
        <w:left w:val="none" w:sz="0" w:space="0" w:color="auto"/>
        <w:bottom w:val="none" w:sz="0" w:space="0" w:color="auto"/>
        <w:right w:val="none" w:sz="0" w:space="0" w:color="auto"/>
      </w:divBdr>
    </w:div>
    <w:div w:id="1889953684">
      <w:bodyDiv w:val="1"/>
      <w:marLeft w:val="0"/>
      <w:marRight w:val="0"/>
      <w:marTop w:val="0"/>
      <w:marBottom w:val="0"/>
      <w:divBdr>
        <w:top w:val="none" w:sz="0" w:space="0" w:color="auto"/>
        <w:left w:val="none" w:sz="0" w:space="0" w:color="auto"/>
        <w:bottom w:val="none" w:sz="0" w:space="0" w:color="auto"/>
        <w:right w:val="none" w:sz="0" w:space="0" w:color="auto"/>
      </w:divBdr>
    </w:div>
    <w:div w:id="2017920457">
      <w:bodyDiv w:val="1"/>
      <w:marLeft w:val="0"/>
      <w:marRight w:val="0"/>
      <w:marTop w:val="0"/>
      <w:marBottom w:val="0"/>
      <w:divBdr>
        <w:top w:val="none" w:sz="0" w:space="0" w:color="auto"/>
        <w:left w:val="none" w:sz="0" w:space="0" w:color="auto"/>
        <w:bottom w:val="none" w:sz="0" w:space="0" w:color="auto"/>
        <w:right w:val="none" w:sz="0" w:space="0" w:color="auto"/>
      </w:divBdr>
    </w:div>
    <w:div w:id="2139715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josefina.trecco@contactica.es"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tri\OneDrive%20-%20CONTACTICA\Escritorio\Proyectos%20PATRICIA\05_SMURF\Templates\SMURF_Template_Press%20releases.dotx" TargetMode="External"/></Relationships>
</file>

<file path=word/theme/theme1.xml><?xml version="1.0" encoding="utf-8"?>
<a:theme xmlns:a="http://schemas.openxmlformats.org/drawingml/2006/main" name="Tema de Office">
  <a:themeElements>
    <a:clrScheme name="Personalizado 1">
      <a:dk1>
        <a:srgbClr val="000000"/>
      </a:dk1>
      <a:lt1>
        <a:sysClr val="window" lastClr="FFFFFF"/>
      </a:lt1>
      <a:dk2>
        <a:srgbClr val="595959"/>
      </a:dk2>
      <a:lt2>
        <a:srgbClr val="A6A6A6"/>
      </a:lt2>
      <a:accent1>
        <a:srgbClr val="FF9900"/>
      </a:accent1>
      <a:accent2>
        <a:srgbClr val="009933"/>
      </a:accent2>
      <a:accent3>
        <a:srgbClr val="00C833"/>
      </a:accent3>
      <a:accent4>
        <a:srgbClr val="595959"/>
      </a:accent4>
      <a:accent5>
        <a:srgbClr val="A6A6A6"/>
      </a:accent5>
      <a:accent6>
        <a:srgbClr val="FFFFFF"/>
      </a:accent6>
      <a:hlink>
        <a:srgbClr val="00FA64"/>
      </a:hlink>
      <a:folHlink>
        <a:srgbClr val="007727"/>
      </a:folHlink>
    </a:clrScheme>
    <a:fontScheme name="SMURF templates">
      <a:majorFont>
        <a:latin typeface="Tw Cen MT"/>
        <a:ea typeface=""/>
        <a:cs typeface=""/>
      </a:majorFont>
      <a:minorFont>
        <a:latin typeface="Century Gothic"/>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fc2355e-07bb-46cf-a720-561a6c741533" xsi:nil="true"/>
    <lcf76f155ced4ddcb4097134ff3c332f xmlns="b5f71f6c-e3d4-4b65-8dfd-06a200383aa4">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EABAA74FAB5A14FAA563E265C04E612" ma:contentTypeVersion="19" ma:contentTypeDescription="Create a new document." ma:contentTypeScope="" ma:versionID="3f50e7512f4665dea0b337dff62cb16f">
  <xsd:schema xmlns:xsd="http://www.w3.org/2001/XMLSchema" xmlns:xs="http://www.w3.org/2001/XMLSchema" xmlns:p="http://schemas.microsoft.com/office/2006/metadata/properties" xmlns:ns2="b5f71f6c-e3d4-4b65-8dfd-06a200383aa4" xmlns:ns3="8fc2355e-07bb-46cf-a720-561a6c741533" targetNamespace="http://schemas.microsoft.com/office/2006/metadata/properties" ma:root="true" ma:fieldsID="20bd20260f0cc580d6d3d720049e6d4a" ns2:_="" ns3:_="">
    <xsd:import namespace="b5f71f6c-e3d4-4b65-8dfd-06a200383aa4"/>
    <xsd:import namespace="8fc2355e-07bb-46cf-a720-561a6c74153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f71f6c-e3d4-4b65-8dfd-06a200383a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2045276-030b-4bfc-a8ea-0641b64098e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fc2355e-07bb-46cf-a720-561a6c74153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43b0dde-1ba4-4b35-8b53-dc6dbf1b0c74}" ma:internalName="TaxCatchAll" ma:showField="CatchAllData" ma:web="8fc2355e-07bb-46cf-a720-561a6c74153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8AF9F8E-6B09-4019-A1B5-0033A3E6CCB6}">
  <ds:schemaRefs>
    <ds:schemaRef ds:uri="http://schemas.microsoft.com/office/2006/metadata/properties"/>
    <ds:schemaRef ds:uri="http://schemas.microsoft.com/office/infopath/2007/PartnerControls"/>
    <ds:schemaRef ds:uri="8fc2355e-07bb-46cf-a720-561a6c741533"/>
    <ds:schemaRef ds:uri="b5f71f6c-e3d4-4b65-8dfd-06a200383aa4"/>
  </ds:schemaRefs>
</ds:datastoreItem>
</file>

<file path=customXml/itemProps2.xml><?xml version="1.0" encoding="utf-8"?>
<ds:datastoreItem xmlns:ds="http://schemas.openxmlformats.org/officeDocument/2006/customXml" ds:itemID="{2F7044B3-3F1E-4CF6-8AAB-8FD9098E4A3C}">
  <ds:schemaRefs>
    <ds:schemaRef ds:uri="http://schemas.openxmlformats.org/officeDocument/2006/bibliography"/>
  </ds:schemaRefs>
</ds:datastoreItem>
</file>

<file path=customXml/itemProps3.xml><?xml version="1.0" encoding="utf-8"?>
<ds:datastoreItem xmlns:ds="http://schemas.openxmlformats.org/officeDocument/2006/customXml" ds:itemID="{CE9CBA95-E926-4AEE-9D19-EEF12B49C2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f71f6c-e3d4-4b65-8dfd-06a200383aa4"/>
    <ds:schemaRef ds:uri="8fc2355e-07bb-46cf-a720-561a6c7415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BA522E1-AC24-471A-9BF5-EAE5FC203FB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SMURF_Template_Press releases</Template>
  <TotalTime>60</TotalTime>
  <Pages>3</Pages>
  <Words>996</Words>
  <Characters>5480</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Perez</dc:creator>
  <cp:keywords/>
  <dc:description/>
  <cp:lastModifiedBy>Josefina Trecco</cp:lastModifiedBy>
  <cp:revision>13</cp:revision>
  <cp:lastPrinted>2025-01-29T08:04:00Z</cp:lastPrinted>
  <dcterms:created xsi:type="dcterms:W3CDTF">2025-01-29T08:15:00Z</dcterms:created>
  <dcterms:modified xsi:type="dcterms:W3CDTF">2025-04-16T22:11:00Z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18cad34e-7aa2-44d2-9eaf-ac5157b8f9bf</vt:lpwstr>
  </property>
  <property fmtid="{D5CDD505-2E9C-101B-9397-08002B2CF9AE}" pid="3" name="ContentTypeId">
    <vt:lpwstr>0x0101001EABAA74FAB5A14FAA563E265C04E612</vt:lpwstr>
  </property>
</Properties>
</file>